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417830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2.9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417830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2.9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916940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2.2pt" to="568.4pt,72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1791970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1.1pt" to="568.4pt,141.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3006725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36.75pt" to="568.4pt,236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4547235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58.05pt" to="568.4pt,358.0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936355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36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36.0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936355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36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36.0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Opcje na kontrakty terminowe (Long Call)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8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Opcja Long Call na kontraktach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opcji na kontrakty terminowe (a/k/a "opcje terminowe").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są notowane i są przedmiotem obrotu na amerykańskich giełdach kontraktów terminowych typu futures zarejestrowanych w amerykańskiej komisji ds. obrotu kontraktami na towary ("CFTC") i są emitowane, rozliczane i rozliczane przez OCC, organizację rozliczającą instrumenty pochodne zarejestrowaną w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 terminowych, inwestorzy mogą znaleźć na stronie internetowej OCC pod adresem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na kontrakty terminowe, dopóki nie przeczytają i nie zrozumieją niniejszego dokumentu oraz wszelkich dodatkowych ujawnień przekazanych przez ich brokera, których treść może obejmować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Oświadczenie o ryzyku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Krajowego Stowarzyszenia Kontraktów Terminowych ("NFA") 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odniesieniu do kontraktów terminowych na papiery wartościowe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https://www.nfa.futures.org/investors/investor-resources/files/security-futures-disclosure.pdf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a także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00000"/>
        </w:rPr>
        <w:t xml:space="preserve">Ujednolicone kontrakty terminowe i opcje na ryzyko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Stowarzyszenia Branży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https://lc.fia.org/uniform-futures-and-options-futures-risk-disclosures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000000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Ujawnienia w niniejszym dokumencie należy interpretować w sposób spójny z tymi ujawnieniami.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Ponadto, ponieważ instrumentem bazowym opcji terminowej jest kontrakt terminowy, inwestorzy powinni zapoznać się z dokumentem zawierającym kluczowe informacje dotyczące kontraktu terminowego, który stanowi podstawę opcji terminowej.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24130</wp:posOffset>
                </wp:positionV>
                <wp:extent cx="6676390" cy="478980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478980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9pt;width:525.7pt;height:377.1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Opcja terminowa to prawo do nabycia lub zbycia określonego kontraktu terminowego po ustalonej cenie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tj. "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cenie wykonania") poprzez skorzystanie z opcji przed upływem terminu jej ważności.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bazowe kontrakty terminowe typu future oraz na odsetki bazowe w tej przyszłości jest zatem pośrednia, ponieważ wartość opcji jest pochodną wartości bazowej kontraktu typu future.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ważności opcji terminowych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 amerykańska giełda opcji terminowych może jednostronnie wypowiedzieć opcję.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Zdarzenie korporacyjne związane z bazowym kontraktem terminowym typu futures lub odsetkami stanowiącymi jego podstawę może skutkować zmianą warunków opcji zgodnie z regułami OCC, które mogą różnić się od metodologii stosowanej na rynkach europejskich.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00"/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zgodnie z warunkami zakupu lub sprzedaży bazowego kontraktu terminowego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rozlicza się zazwyczaj poprzez zawarcie bazowego kontraktu terminowego.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Oznacza to, że posiadacz opcji kupna, po jej wykonaniu, nabyłby pozycję długą w bazowym kontrakcie terminowym, wycenioną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Niektóre opcje terminowe mogą być natomiast rozliczane w środkach pieniężnych, w którym to przypadku posiadacz otrzyma płatność gotówkową, jeżeli w momencie wykonania wartość bazowej transakcji w przyszłości przekroczy cenę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terminowej to cena wykonania, czas do wygaśnięcia oraz wartość bazowego kontraktu terminowego i jego podatność na wahania cen (zmienność).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21.4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627" w:right="980" w:bottom="587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9324975</wp:posOffset>
                </wp:positionV>
                <wp:extent cx="669036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34.25pt" to="568.4pt,734.2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926592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2659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6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926592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2659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6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77990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77990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jego warunków, ale może obejmować:</w:t>
      </w:r>
    </w:p>
    <w:p>
      <w:pPr>
        <w:spacing w:after="0" w:line="7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1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 może stracić całą składkę, jeżeli cena wykonania opcji kupna jest wyższa od wartości rynkowej instrumentu bazowego lub cena wykonania opcji jest niższa od tej wartości.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obu przypadkach mówi się, że opcja wygasa "z pieniędzy".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Posiadacz, który nie sprzeda ani nie skorzysta z opcji przed jej wygaśnięciem, może stracić całą swoją inwestycję.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 terminowych, na której jedynym przedmiotem obrotu są opcje terminowe, stanie się niedostępna, inwestorzy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zaistnieć sytuacje, w których ceny opcji terminowych nie będą utrzymywać zwyczajowych lub oczekiwanych relacji z wartościami udziałów bazowych lub powiązanych.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20" w:hanging="214"/>
        <w:spacing w:after="0" w:line="20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kontrakt terminowy na zrealizowaną opcję jest niedostępny, zasady UOKiK mogą wymagać alternatywnej formy rozliczenia, takiej jak rozliczenie gotówkowe.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40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Inwestorzy powinni uwzględnić profil ryzyka i zysku kontraktu terminowego będącego podstawą opcji terminowej, zgodnie z opisem w odpowiednim dokumencie zawierającym kluczowe informacje dotyczącym bazowego kontraktu terminowego.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2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obrotem lub realizacją opcji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80"/>
        <w:spacing w:after="0" w:line="20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Dolary amerykańskie, a co za tym idzie,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14605</wp:posOffset>
            </wp:positionV>
            <wp:extent cx="6592570" cy="15970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14605</wp:posOffset>
            </wp:positionV>
            <wp:extent cx="6592570" cy="15970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320"/>
          </w:cols>
          <w:pgMar w:left="940" w:top="634" w:right="980" w:bottom="70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3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P/L dla posiadacza połączenia (Premium $5; Cena ćwiczenia $45)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0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16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4"/>
              </w:rPr>
              <w:t xml:space="preserve">P/L</w:t>
            </w:r>
          </w:p>
        </w:tc>
        <w:tc>
          <w:tcPr>
            <w:tcW w:w="42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0</w:t>
            </w: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20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40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60</w:t>
            </w:r>
          </w:p>
        </w:tc>
        <w:tc>
          <w:tcPr>
            <w:tcW w:w="36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4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80</w:t>
            </w:r>
          </w:p>
        </w:tc>
        <w:tc>
          <w:tcPr>
            <w:tcW w:w="7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100 $</w:t>
            </w:r>
          </w:p>
        </w:tc>
        <w:tc>
          <w:tcPr>
            <w:tcW w:w="56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120 $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 USD</w:t>
            </w:r>
          </w:p>
        </w:tc>
        <w:tc>
          <w:tcPr>
            <w:tcW w:w="140" w:type="dxa"/>
            <w:vAlign w:val="bottom"/>
            <w:tcBorders>
              <w:right w:val="single" w:sz="8" w:color="BFBFBF"/>
            </w:tcBorders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top w:val="single" w:sz="8" w:color="D9D9D9"/>
            </w:tcBorders>
            <w:gridSpan w:val="6"/>
            <w:vMerge w:val="restart"/>
          </w:tcPr>
          <w:p>
            <w:pPr xmlns:w="http://schemas.openxmlformats.org/wordprocessingml/2006/main"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Cena rynkowa instrumentu bazowego</w:t>
            </w:r>
          </w:p>
        </w:tc>
        <w:tc>
          <w:tcPr>
            <w:tcW w:w="7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4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$100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39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+ 50 $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$60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39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$10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+ 10 USD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plus premia.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860" w:space="420"/>
            <w:col w:w="4040"/>
          </w:cols>
          <w:pgMar w:left="940" w:top="634" w:right="980" w:bottom="70" w:gutter="0" w:footer="0" w:header="0"/>
          <w:type w:val="continuous"/>
        </w:sectPr>
      </w:pP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również mieć wpływ na wysokość otrzymywanych przez Ciebie kwot.</w:t>
      </w:r>
    </w:p>
    <w:p>
      <w:pPr>
        <w:spacing w:after="0" w:line="8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520"/>
        <w:spacing w:after="0" w:line="20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OCC są tak skonstruowane, że wyniki na wszystkich opcjach terminowych są pomiędzy OCC a grupą firm maklerskich zwanych członkami rozliczającymi, którzy posiadają pozycje wszystkich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18415</wp:posOffset>
                </wp:positionV>
                <wp:extent cx="6689725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5pt" to="521.4pt,1.4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634" w:right="980" w:bottom="7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1784350</wp:posOffset>
                </wp:positionV>
                <wp:extent cx="669036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0.5pt" to="568.4pt,140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5883910</wp:posOffset>
                </wp:positionV>
                <wp:extent cx="669036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463.3pt" to="568.4pt,463.3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7424420</wp:posOffset>
                </wp:positionV>
                <wp:extent cx="669036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84.6pt" to="568.4pt,584.6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96112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3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96112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3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posiadaczy opcji terminowych i scenarzystów na rachunkach OCC.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tbl>
      <w:tblPr>
        <w:tblLayout w:type="fixed"/>
        <w:tblInd w:w="2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8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Jeżeli tak,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2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przekaże Ci informacje na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100" w:type="dxa"/>
            <w:vAlign w:val="bottom"/>
          </w:tcPr>
          <w:p>
            <w:pPr xmlns:w="http://schemas.openxmlformats.org/wordprocessingml/2006/main"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 koszty i ich wpływ na Twoją inwestycję.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Łączne koszty opcji terminowych zależą od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wiele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zapłacony koszt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przez posiadacza do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 istotne znaczenie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6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wpływ na składkę obejmuje między innymi,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wartość odsetek bazowych, czas do wygaśnięcia,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3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 ceny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1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transakcyjne i wymagania dotyczące marży, które mogą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4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istotnie wpływają na wynik finansowy.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Koszty transakcyjne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składają się głównie z prowizji (które są nakładane)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otwieraniu, zamykaniu, wykonywaniu i przydzielaniu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transakcji), ale może również zawierać depozyt zabezpieczający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Depozyt zabezpieczający oznacza aktywa, które należy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zdeponowane przez pisarza w jego firmie maklerskiej jako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zabezpieczenie zobowiązania, stosownie do przypadku, do zakupu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sprzedać odsetki bazowe lub zapłacić rozliczenie pieniężne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i przypisania opcji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5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emitent może ponieść dodatkowe koszty związane z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bazowy kontrakt terminowy typu futures.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8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terminowej jest dla posiadacza kluczową decyzją inwestycyjną, podobnie jak decyzja posiadaczy opcji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kontrakt (kontrakty) opcyjne typu futures lub czy zamknąć istniejącą pozycję.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opcji terminowych,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skarga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centrum skarg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),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), NFA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</w: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).</w:t>
      </w:r>
    </w:p>
    <w:p>
      <w:pPr>
        <w:spacing w:after="0" w:line="4" w:lineRule="exact"/>
        <w:rPr>
          <w:sz w:val="20"/>
          <w:szCs w:val="20"/>
          <w:color w:val="auto"/>
        </w:rPr>
      </w:pPr>
    </w:p>
    <w:tbl>
      <w:tblPr>
        <w:tblLayout w:type="fixed"/>
        <w:tblInd w:w="3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23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Skarga FINRA Investor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Amerykańskie Papiery Wartościowe i Giełdy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Krajowe Stowarzyszenie Kontraktów Terminowych</w:t>
            </w:r>
          </w:p>
        </w:tc>
        <w:tc>
          <w:tcPr>
            <w:tcW w:w="21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  <w:w w:val="99"/>
              </w:rPr>
              <w:t xml:space="preserve">Kontrakty terminowe na towary ze Stanów Zjednoczonych</w:t>
            </w:r>
          </w:p>
        </w:tc>
      </w:tr>
      <w:tr>
        <w:trPr>
          <w:trHeight w:val="242"/>
        </w:trPr>
        <w:tc>
          <w:tcPr>
            <w:tcW w:w="234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Wyśrodkowanie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Komisja/Urząd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300 S. Riverside Plaza, #1800</w:t>
            </w:r>
          </w:p>
        </w:tc>
        <w:tc>
          <w:tcPr>
            <w:tcW w:w="212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 Handlowa</w:t>
            </w:r>
          </w:p>
        </w:tc>
      </w:tr>
      <w:tr>
        <w:trPr>
          <w:trHeight w:val="245"/>
        </w:trPr>
        <w:tc>
          <w:tcPr>
            <w:tcW w:w="23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9509 Key West Avenue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Edukacja inwestorska i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Chicago, IL 60606-6615</w:t>
            </w:r>
          </w:p>
        </w:tc>
        <w:tc>
          <w:tcPr>
            <w:tcW w:w="21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Centrum Trzech Lafayette</w:t>
            </w:r>
          </w:p>
        </w:tc>
      </w:tr>
      <w:tr>
        <w:trPr>
          <w:trHeight w:val="245"/>
        </w:trPr>
        <w:tc>
          <w:tcPr>
            <w:tcW w:w="23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Rockville, MD 20850-3329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Rzecznictwo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312-781-1300</w:t>
            </w:r>
          </w:p>
        </w:tc>
        <w:tc>
          <w:tcPr>
            <w:tcW w:w="21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1155 21st Street, NW</w:t>
            </w:r>
          </w:p>
        </w:tc>
      </w:tr>
      <w:tr>
        <w:trPr>
          <w:trHeight w:val="245"/>
        </w:trPr>
        <w:tc>
          <w:tcPr>
            <w:tcW w:w="23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(240) 386-HELP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100 F Street, Gdzie Indziej Niewymienione.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312-781-1467</w:t>
            </w:r>
          </w:p>
        </w:tc>
        <w:tc>
          <w:tcPr>
            <w:tcW w:w="21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20581</w:t>
            </w:r>
          </w:p>
        </w:tc>
      </w:tr>
      <w:tr>
        <w:trPr>
          <w:trHeight w:val="242"/>
        </w:trPr>
        <w:tc>
          <w:tcPr>
            <w:tcW w:w="234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(4357)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20549-0213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866-366-2382</w:t>
            </w:r>
          </w:p>
        </w:tc>
      </w:tr>
      <w:tr>
        <w:trPr>
          <w:trHeight w:val="245"/>
        </w:trPr>
        <w:tc>
          <w:tcPr>
            <w:tcW w:w="23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(866) 397-3290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(202) 772-9295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202-418-5521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14605</wp:posOffset>
                </wp:positionV>
                <wp:extent cx="669036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.15pt" to="532.4pt,1.1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40"/>
          </w:cols>
          <w:pgMar w:left="720" w:top="702" w:right="980" w:bottom="269" w:gutter="0" w:footer="0" w:header="0"/>
        </w:sectPr>
      </w:pPr>
    </w:p>
    <w:p>
      <w:pPr>
        <w:spacing w:after="0" w:line="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540"/>
      </w:cols>
      <w:pgMar w:left="720" w:top="702" w:right="980" w:bottom="26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4D945332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207E8FCC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70E777E2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2024-05-21T09:24:50Z</dcterms:created>
  <dcterms:modified xsi:type="dcterms:W3CDTF">2024-05-21T09:24:50Z</dcterms:modified>
</cp:coreProperties>
</file>