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534670</wp:posOffset>
                </wp:positionH>
                <wp:positionV relativeFrom="page">
                  <wp:posOffset>463550</wp:posOffset>
                </wp:positionV>
                <wp:extent cx="6677025" cy="49657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77025" cy="496570"/>
                        </a:xfrm>
                        <a:prstGeom prst="rect">
                          <a:avLst/>
                        </a:prstGeom>
                        <a:solidFill>
                          <a:srgbClr val="1F4E7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1" o:spid="_x0000_s1026" style="position:absolute;margin-left:42.1pt;margin-top:36.5pt;width:525.75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1F4E79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582295</wp:posOffset>
                </wp:positionH>
                <wp:positionV relativeFrom="page">
                  <wp:posOffset>463550</wp:posOffset>
                </wp:positionV>
                <wp:extent cx="6581775" cy="49657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581775" cy="4965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2" o:spid="_x0000_s1027" style="position:absolute;margin-left:45.85pt;margin-top:36.5pt;width:518.25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459740</wp:posOffset>
                </wp:positionV>
                <wp:extent cx="6690360" cy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6.2pt" to="568.4pt,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962660</wp:posOffset>
                </wp:positionV>
                <wp:extent cx="6690360" cy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75.8pt" to="568.4pt,75.8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1837690</wp:posOffset>
                </wp:positionV>
                <wp:extent cx="6690360" cy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144.7pt" to="568.4pt,144.7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3052445</wp:posOffset>
                </wp:positionV>
                <wp:extent cx="6690360" cy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240.35pt" to="568.4pt,240.3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3911600</wp:posOffset>
                </wp:positionV>
                <wp:extent cx="6690360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08pt" to="568.4pt,308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531495</wp:posOffset>
                </wp:positionH>
                <wp:positionV relativeFrom="page">
                  <wp:posOffset>457200</wp:posOffset>
                </wp:positionV>
                <wp:extent cx="0" cy="889254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8925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85pt,36pt" to="41.85pt,7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7216140</wp:posOffset>
                </wp:positionH>
                <wp:positionV relativeFrom="page">
                  <wp:posOffset>457200</wp:posOffset>
                </wp:positionV>
                <wp:extent cx="0" cy="889254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8925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8.2pt,36pt" to="568.2pt,7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Kluczowe informacje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Dokument - Standaryzowane Opcje Walutowe (Long Call)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25400</wp:posOffset>
                </wp:positionV>
                <wp:extent cx="6676390" cy="86868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6390" cy="868680"/>
                        </a:xfrm>
                        <a:prstGeom prst="rect">
                          <a:avLst/>
                        </a:prstGeom>
                        <a:solidFill>
                          <a:srgbClr val="9CC2E5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" o:spid="_x0000_s1035" style="position:absolute;margin-left:-4.8499pt;margin-top:2pt;width:525.7pt;height:68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9CC2E5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Przeznaczenie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120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Niniejszy dokument zawiera kluczowe informacje na temat tego produktu inwestycyjnego.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jest to materiał marketingowy.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Informacje te są wymagane przez prawo, aby pomóc Ci zrozumieć charakter, ryzyko, koszty, potencjalne zyski i straty tego produktu oraz aby pomóc Ci porównać go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Jest to dokument wyłącznie angielski, nieupoważniony do tłumaczenia na inny język.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Produkt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40"/>
        <w:spacing w:after="0" w:line="22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Amerykańskie Standardowe Opcje Walutowe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Options Clearing Corporation ("OCC") udostępnia niniejszy dokument na podstawie Rozporządzenia UE nr 1286/2014 dla standardowych opcji walutowych ("FX") (a/k/a "notowane opcje").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Standaryzowane opcje walutowe są notowane i znajdują się w obrocie na giełdach opcji amerykańskich zarejestrowanych w amerykańskiej Komisji Papierów Wartościowych i Giełd ("SEC") i są emitowane, rozliczane i rozliczane przez OCC, agencję rozliczeniową zarejestrowaną w SEC.</w:t>
      </w:r>
    </w:p>
    <w:p>
      <w:pPr>
        <w:spacing w:after="0" w:line="7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22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Więcej informacji, w tym dane kontaktowe amerykańskich giełd opcji, inwestorzy mogą znaleźć na stronie internetowej OCC pod adresem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www.theocc.com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lub skontaktować się z OCC pod numerem 1-312-322-6200.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Zaktualizowany 28 grudnia 2022 i 20 kwietnia 2023.</w:t>
      </w:r>
    </w:p>
    <w:p>
      <w:pPr>
        <w:spacing w:after="0" w:line="7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40"/>
        <w:spacing w:after="0" w:line="22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Alert.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Zamierzasz kupić produkt, który nie jest prosty i może być trudny do zrozumienia.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nie powinni handlować opcjami walutowymi standardowymi, dopóki nie przeczytają i nie zrozumieją tego dokumentu i związanego z nim dokumentu ujawniającego ryzyko, który jest przedkładany SEC,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auto"/>
        </w:rPr>
        <w:t xml:space="preserve">Charakterystyka i ryzyko opcji standardowych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, zwanego również dokumentem ujawniającym opcje ("ODD")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Ujawnienia w niniejszym dokumencie należy interpretować w sposób zgodny z ODD,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https://www.theocc.com/components/docs/riskstoc.pdf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20955</wp:posOffset>
                </wp:positionV>
                <wp:extent cx="6676390" cy="5428615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6390" cy="5428615"/>
                        </a:xfrm>
                        <a:prstGeom prst="rect">
                          <a:avLst/>
                        </a:prstGeom>
                        <a:solidFill>
                          <a:srgbClr val="BDD6E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" o:spid="_x0000_s1036" style="position:absolute;margin-left:-4.8499pt;margin-top:1.65pt;width:525.7pt;height:427.4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BDD6EE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Co to za produkt?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Typ</w:t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120"/>
        <w:spacing w:after="0" w:line="23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Wystandaryzowana opcja walutowa to prawo do kupna lub sprzedaży jednej waluty ("waluta bazowa") po ustalonej cenie ("cena wykonania") denominowanej w innej walucie ("waluta obrotu"), stanowiącej "kurs wymiany" pomiędzy walutami, poprzez skorzystanie z opcji przed wygaśnięciem.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Ekspozycja na walutę bazową jest zatem pośrednia, ponieważ wartość opcji jest ustalana na podstawie wartości waluty bazowej.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Daty ważności są różne.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OCC nie może jednostronnie zakończyć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pewnych nadzwyczajnych okolicznościach, w których warunki opcji zostaną jednoznacznie uznane za błędne, giełda, na której wykonywana jest transakcja, może jednostronnie wypowiedzieć opcję w określonym terminie po jej wykonaniu.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niektórych przypadkach działanie emitenta waluty obcej może skutkować zmianą warunków opcji zgodnie z regułami OCC, które mogą różnić się od metodologii stosowanej na rynkach europejskich.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Cele</w:t>
      </w:r>
    </w:p>
    <w:p>
      <w:pPr>
        <w:spacing w:after="0" w:line="10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 w:line="2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Posiadaczem (kupującym) opcji jest osoba, która kupuje prawo z opcji i płaci autorowi (sprzedającemu) bezzwrotną płatność zwaną "premią".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Scenariusz opcji jest zobowiązany - w przypadku przypisania wykonania opcji - do wykonania opcji zgodnie z warunkami kupna lub sprzedaży waluty bazowej po cenie wykonania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Opcja dająca posiadaczowi prawo do zakupu jest opcją kupna, a opcja dająca posiadaczowi prawo do sprzedaży jest opcją sprzedaży.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Posiadacz może skorzystać z opcji typu amerykańskiego w dowolnym momencie przed wygaśnięciem, natomiast opcja typu europejskiego może być wykonana tylko w określonym okresie przed wygaśnięciem (data wygaśnięcia).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Standaryzowane opcje walutowe są z reguły rozliczane fizycznie, ale mogą być również rozliczane w środkach pieniężnych.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Fizyczne rozliczenie daje posiadaczowi prawo do otrzymania (wezwania) lub fizycznego dostarczenia (sprzedaży) instrumentu bazowego w momencie wykonania.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rozliczeniach pieniężnych posiadacz ma prawo do otrzymania płatności gotówkowej, jeżeli ustalona wartość instrumentu bazowego w momencie wykonania przekracza (wezwanie) lub jest niższa od (opcja sprzedaży) ceny wykonania.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Czynniki wpływające na wartość opcji to cena wykonania opcji, czas do wygaśnięcia opcji oraz wartość waluty bazowej i handlowej oraz ich podatność na wahania cen (zmienność).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Zamierzony Inwestor Detaliczny</w:t>
      </w:r>
    </w:p>
    <w:p>
      <w:pPr>
        <w:spacing w:after="0" w:line="10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40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Produkt ten nie jest przeznaczony dla konkretnego rodzaju inwestora ani nie jest przeznaczony do realizacji określonego celu inwestycyjnego lub strategii inwestycyjnej.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jest ona odpowiednia dla wszystkich inwestorów i jest przeznaczona wyłącznie dla inwestorów, którzy dobrze rozumieją produkt i mogą ponieść potencjalne straty związane z nim i związaną z nim strategią inwestycyjną.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przypadku pytań dotyczących odpowiedniości prosimy o kontakt z brokerem lub doradcą inwestycyjnym.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528320</wp:posOffset>
                </wp:positionV>
                <wp:extent cx="6689725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97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3499pt,41.6pt" to="521.4pt,41.6pt" o:allowincell="f" strokecolor="#000000" strokeweight="0.4799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300"/>
          </w:cols>
          <w:pgMar w:left="940" w:top="699" w:right="1000" w:bottom="1440" w:gutter="0" w:footer="0" w:header="0"/>
        </w:sectPr>
      </w:pPr>
    </w:p>
    <w:bookmarkStart w:id="1" w:name="page2"/>
    <w:bookmarkEnd w:id="1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459740</wp:posOffset>
                </wp:positionV>
                <wp:extent cx="6690360" cy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6.2pt" to="568.4pt,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531495</wp:posOffset>
                </wp:positionH>
                <wp:positionV relativeFrom="page">
                  <wp:posOffset>457200</wp:posOffset>
                </wp:positionV>
                <wp:extent cx="0" cy="8997315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973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85pt,36pt" to="41.85pt,744.4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7216140</wp:posOffset>
                </wp:positionH>
                <wp:positionV relativeFrom="page">
                  <wp:posOffset>457200</wp:posOffset>
                </wp:positionV>
                <wp:extent cx="0" cy="8997315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973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8.2pt,36pt" to="568.2pt,744.4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Jakie jest ryzyko i co mogę dostać w zamian?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1062990</wp:posOffset>
            </wp:positionH>
            <wp:positionV relativeFrom="paragraph">
              <wp:posOffset>15875</wp:posOffset>
            </wp:positionV>
            <wp:extent cx="4896485" cy="177990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6485" cy="1779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1062990</wp:posOffset>
            </wp:positionH>
            <wp:positionV relativeFrom="paragraph">
              <wp:posOffset>15875</wp:posOffset>
            </wp:positionV>
            <wp:extent cx="4896485" cy="177990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6485" cy="1779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Wskaźnik Ryzyka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20"/>
        <w:spacing w:after="0" w:line="22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Podsumowujący wskaźnik ryzyka jest wskazówką dotyczącą poziomu ryzyka tego produktu w porównaniu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Pokazuje, jak prawdopodobne jest, że produkt straci pieniądze z powodu zmian na rynkach lub dlatego, że nie jesteśmy w stanie zapłacić.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Zaklasyfikowaliśmy ten produkt jako 7 z 7, co jest najwyższą klasą ryzyka i ocenia potencjalne straty z przyszłych wyników na bardzo wysokim poziomie.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Ten produkt nie obejmuje żadnej ochrony przed przyszłą sytuacją rynkową, więc możesz stracić część lub całość inwestycji.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Profil ryzyka i zysku dla posiadaczy i emitentów zależy od warunków opcji, ale może obejmować:</w:t>
      </w:r>
    </w:p>
    <w:p>
      <w:pPr>
        <w:spacing w:after="0" w:line="7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20" w:right="120" w:hanging="214"/>
        <w:spacing w:after="0" w:line="217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Posiadacz może stracić całą składkę, jeżeli cena wykonania opcji kupna jest wyższa od wartości rynkowej instrumentu bazowego lub cena wykonania opcji jest niższa od tej wartości.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obu przypadkach mówi się, że opcja wygasa "z pieniędzy".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Posiadacz, który nie sprzeda ani nie skorzysta z opcji przed jej wygaśnięciem, może stracić całą swoją inwestycję.</w:t>
      </w:r>
    </w:p>
    <w:p>
      <w:pPr>
        <w:spacing w:after="0" w:line="79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20" w:hanging="214"/>
        <w:spacing w:after="0" w:line="216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Jeżeli amerykańska giełda opcji, na której jedynym przedmiotem obrotu są opcje, stanie się niedostępna, inwestorzy w te opcje nie będą już mogli zawierać transakcji zamknięcia.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Ponadto mogą wystąpić sytuacje, w których ceny opcji nie utrzymają zwyczajowych lub oczekiwanych relacji z wartościami udziałów bazowych lub powiązanych.</w:t>
      </w:r>
    </w:p>
    <w:p>
      <w:pPr>
        <w:spacing w:after="0" w:line="80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660" w:hanging="214"/>
        <w:spacing w:after="0" w:line="205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Jeżeli waluta bazowa wykonanej opcji, która jest fizycznie rozliczana, jest niedostępna, zasady rozliczania metodą otwartą mogą wymagać alternatywnej formy rozliczenia, takiej jak rozliczenie gotówkowe.</w:t>
      </w:r>
    </w:p>
    <w:p>
      <w:pPr>
        <w:spacing w:after="0" w:line="2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hanging="214"/>
        <w:spacing w:after="0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Prawo podatkowe w państwie członkowskim pochodzenia inwestora może mieć wpływ na jego zwrot.</w:t>
      </w:r>
    </w:p>
    <w:p>
      <w:pPr>
        <w:spacing w:after="0" w:line="26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hanging="214"/>
        <w:spacing w:after="0" w:line="218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Bądź świadomy ryzyka walutowego.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Złożone czynniki mogą mieć wpływ na wartość waluty bazowej i handlowej</w:t>
      </w:r>
    </w:p>
    <w:p>
      <w:pPr>
        <w:spacing w:after="0" w:line="7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center"/>
        <w:ind w:right="140"/>
        <w:spacing w:after="0" w:line="21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czynników politycznych i gospodarczych.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Dodatkowo płatności gotówkowe będą rozliczane w dolarach amerykańskich, a więc wyniki inwestycji mogą się zmieniać w zależności od wahań kursów walut.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Ryzyko to nie jest uwzględniane we wskaźniku powyżej.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Scenariusze wyników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(Przykłady nie obejmują kosztów prowizji, podatków i innych kosztów transakcyjnych, które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może mieć wpływ na wartość transakcji i pozycję opcyjną.)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</wp:posOffset>
            </wp:positionH>
            <wp:positionV relativeFrom="paragraph">
              <wp:posOffset>13970</wp:posOffset>
            </wp:positionV>
            <wp:extent cx="6545580" cy="234251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5580" cy="2342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3810</wp:posOffset>
            </wp:positionH>
            <wp:positionV relativeFrom="paragraph">
              <wp:posOffset>13970</wp:posOffset>
            </wp:positionV>
            <wp:extent cx="6545580" cy="234251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5580" cy="2342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2240" w:h="15840" w:orient="portrait"/>
          <w:cols w:equalWidth="0" w:num="1">
            <w:col w:w="10320"/>
          </w:cols>
          <w:pgMar w:left="940" w:top="706" w:right="980" w:bottom="423" w:gutter="0" w:footer="0" w:header="0"/>
        </w:sectPr>
      </w:pPr>
    </w:p>
    <w:p>
      <w:pPr>
        <w:spacing w:after="0" w:line="167" w:lineRule="exact"/>
        <w:rPr>
          <w:sz w:val="20"/>
          <w:szCs w:val="20"/>
          <w:color w:val="auto"/>
        </w:rPr>
      </w:pPr>
    </w:p>
    <w:tbl>
      <w:tblPr>
        <w:tblLayout w:type="fixed"/>
        <w:tblInd w:w="4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40" w:type="dxa"/>
            <w:vAlign w:val="bottom"/>
            <w:gridSpan w:val="6"/>
          </w:tcPr>
          <w:p>
            <w:pPr xmlns:w="http://schemas.openxmlformats.org/wordprocessingml/2006/main">
              <w:jc w:val="right"/>
              <w:ind w:right="21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</w:rPr>
              <w:t xml:space="preserve">Zysk/strata z tytułu posiadania połączenia walutowego (Premium $400*; Cena wykonania 1.30)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0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 xmlns:w="http://schemas.openxmlformats.org/wordprocessingml/2006/main">
              <w:jc w:val="right"/>
              <w:ind w:right="471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400 $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 xmlns:w="http://schemas.openxmlformats.org/wordprocessingml/2006/main">
              <w:jc w:val="right"/>
              <w:ind w:right="471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200 $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180" w:type="dxa"/>
            <w:vAlign w:val="bottom"/>
            <w:vMerge w:val="restart"/>
            <w:textDirection w:val="btLr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</w:rPr>
              <w:t xml:space="preserve">* P/L</w:t>
            </w:r>
          </w:p>
        </w:tc>
        <w:tc>
          <w:tcPr>
            <w:tcW w:w="1020" w:type="dxa"/>
            <w:vAlign w:val="bottom"/>
          </w:tcPr>
          <w:p>
            <w:pPr xmlns:w="http://schemas.openxmlformats.org/wordprocessingml/2006/main">
              <w:jc w:val="right"/>
              <w:ind w:right="471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0 $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2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471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- 200 $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 xmlns:w="http://schemas.openxmlformats.org/wordprocessingml/2006/main">
              <w:jc w:val="right"/>
              <w:ind w:right="471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- 400 $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 xmlns:w="http://schemas.openxmlformats.org/wordprocessingml/2006/main">
              <w:jc w:val="right"/>
              <w:ind w:right="471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- 600 $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 xmlns:w="http://schemas.openxmlformats.org/wordprocessingml/2006/main">
              <w:jc w:val="right"/>
              <w:ind w:right="131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1,26</w:t>
            </w:r>
          </w:p>
        </w:tc>
        <w:tc>
          <w:tcPr>
            <w:tcW w:w="760" w:type="dxa"/>
            <w:vAlign w:val="bottom"/>
          </w:tcPr>
          <w:p>
            <w:pPr xmlns:w="http://schemas.openxmlformats.org/wordprocessingml/2006/main">
              <w:jc w:val="right"/>
              <w:ind w:right="1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1,28</w:t>
            </w:r>
          </w:p>
        </w:tc>
        <w:tc>
          <w:tcPr>
            <w:tcW w:w="760" w:type="dxa"/>
            <w:vAlign w:val="bottom"/>
          </w:tcPr>
          <w:p>
            <w:pPr xmlns:w="http://schemas.openxmlformats.org/wordprocessingml/2006/main">
              <w:jc w:val="right"/>
              <w:ind w:right="135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1,30</w:t>
            </w:r>
          </w:p>
        </w:tc>
        <w:tc>
          <w:tcPr>
            <w:tcW w:w="780" w:type="dxa"/>
            <w:vAlign w:val="bottom"/>
          </w:tcPr>
          <w:p>
            <w:pPr xmlns:w="http://schemas.openxmlformats.org/wordprocessingml/2006/main">
              <w:jc w:val="right"/>
              <w:ind w:right="15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1,32</w:t>
            </w:r>
          </w:p>
        </w:tc>
        <w:tc>
          <w:tcPr>
            <w:tcW w:w="760" w:type="dxa"/>
            <w:vAlign w:val="bottom"/>
          </w:tcPr>
          <w:p>
            <w:pPr xmlns:w="http://schemas.openxmlformats.org/wordprocessingml/2006/main">
              <w:jc w:val="right"/>
              <w:ind w:right="1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1,34</w:t>
            </w:r>
          </w:p>
        </w:tc>
        <w:tc>
          <w:tcPr>
            <w:tcW w:w="760" w:type="dxa"/>
            <w:vAlign w:val="bottom"/>
          </w:tcPr>
          <w:p>
            <w:pPr xmlns:w="http://schemas.openxmlformats.org/wordprocessingml/2006/main">
              <w:jc w:val="right"/>
              <w:ind w:right="1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1,36</w:t>
            </w:r>
          </w:p>
        </w:tc>
        <w:tc>
          <w:tcPr>
            <w:tcW w:w="56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1,38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300" w:type="dxa"/>
            <w:vAlign w:val="bottom"/>
            <w:gridSpan w:val="3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</w:rPr>
              <w:t xml:space="preserve">EUR/USD (instrument bazowy)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7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* Jak przedstawiono, składka i wartość p/l zakładają wielkość kontraktu 10 000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u w:val="single" w:color="auto"/>
          <w:color w:val="auto"/>
        </w:rPr>
        <w:t xml:space="preserve">P/L Mechanizm Stressed Market Underlying Move (</w:t>
      </w:r>
      <w:r>
        <w:rPr xmlns:w="http://schemas.openxmlformats.org/wordprocessingml/2006/main">
          <w:rFonts w:ascii="Calibri" w:cs="Calibri" w:eastAsia="Calibri" w:hAnsi="Calibri"/>
          <w:sz w:val="14"/>
          <w:szCs w:val="14"/>
          <w:u w:val="single" w:color="auto"/>
          <w:color w:val="FF0000"/>
        </w:rPr>
        <w:t xml:space="preserve">Czerwony Punkt Wykresu</w:t>
      </w:r>
      <w:r>
        <w:rPr xmlns:w="http://schemas.openxmlformats.org/wordprocessingml/2006/main">
          <w:rFonts w:ascii="Calibri" w:cs="Calibri" w:eastAsia="Calibri" w:hAnsi="Calibri"/>
          <w:sz w:val="14"/>
          <w:szCs w:val="14"/>
          <w:u w:val="single" w:color="auto"/>
          <w:color w:val="auto"/>
        </w:rPr>
        <w:t xml:space="preserve">)</w:t>
      </w:r>
    </w:p>
    <w:p>
      <w:pPr>
        <w:spacing w:after="0" w:line="12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color w:val="auto"/>
        </w:rPr>
        <w:t xml:space="preserve">Cena rynkowa: $1.36 za Euro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80" w:right="220" w:hanging="140"/>
        <w:spacing w:after="0" w:line="222" w:lineRule="auto"/>
        <w:tabs>
          <w:tab w:leader="none" w:pos="280" w:val="left"/>
        </w:tabs>
        <w:numPr>
          <w:ilvl w:val="0"/>
          <w:numId w:val="2"/>
        </w:numPr>
        <w:rPr>
          <w:rFonts w:ascii="Symbol" w:cs="Symbol" w:eastAsia="Symbol" w:hAnsi="Symbol"/>
          <w:sz w:val="14"/>
          <w:szCs w:val="14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color w:val="auto"/>
        </w:rPr>
        <w:t xml:space="preserve">Niekorzystny dla pisarza: - $200, co oznacza obowiązek dostarczenia 10,000 euro za 1,30 dolara amerykańskiego każdy (gdy dominująca cena rynkowa wynosi 1,36 dolara amerykańskiego każdy) plus 400 dolarów premii</w:t>
      </w:r>
    </w:p>
    <w:p>
      <w:pPr>
        <w:spacing w:after="0" w:line="145" w:lineRule="exact"/>
        <w:rPr>
          <w:rFonts w:ascii="Symbol" w:cs="Symbol" w:eastAsia="Symbol" w:hAnsi="Symbol"/>
          <w:sz w:val="14"/>
          <w:szCs w:val="14"/>
          <w:color w:val="auto"/>
        </w:rPr>
      </w:pPr>
    </w:p>
    <w:p>
      <w:pPr xmlns:w="http://schemas.openxmlformats.org/wordprocessingml/2006/main">
        <w:ind w:left="280" w:right="160" w:hanging="140"/>
        <w:spacing w:after="0" w:line="223" w:lineRule="auto"/>
        <w:tabs>
          <w:tab w:leader="none" w:pos="280" w:val="left"/>
        </w:tabs>
        <w:numPr>
          <w:ilvl w:val="0"/>
          <w:numId w:val="2"/>
        </w:numPr>
        <w:rPr>
          <w:rFonts w:ascii="Symbol" w:cs="Symbol" w:eastAsia="Symbol" w:hAnsi="Symbol"/>
          <w:sz w:val="14"/>
          <w:szCs w:val="14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color w:val="auto"/>
        </w:rPr>
        <w:t xml:space="preserve">Korzystny dla posiadacza: +$200, reprezentujący prawo do otrzymania 10,000 euro za 1,30 dolara amerykańskiego każdy (gdy dominująca cena rynkowa wynosi 1,36 dolara amerykańskiego każdy), pomniejszony o 400 dolarów premii</w:t>
      </w:r>
    </w:p>
    <w:p>
      <w:pPr>
        <w:spacing w:after="0" w:line="9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u w:val="single" w:color="auto"/>
          <w:color w:val="auto"/>
        </w:rPr>
        <w:t xml:space="preserve">P/L Umiarkowane Przesunięcie Rynkowe (</w:t>
      </w:r>
      <w:r>
        <w:rPr xmlns:w="http://schemas.openxmlformats.org/wordprocessingml/2006/main">
          <w:rFonts w:ascii="Calibri" w:cs="Calibri" w:eastAsia="Calibri" w:hAnsi="Calibri"/>
          <w:sz w:val="14"/>
          <w:szCs w:val="14"/>
          <w:u w:val="single" w:color="auto"/>
          <w:color w:val="00B050"/>
        </w:rPr>
        <w:t xml:space="preserve">Zielony Punkt Działki</w:t>
      </w:r>
      <w:r>
        <w:rPr xmlns:w="http://schemas.openxmlformats.org/wordprocessingml/2006/main">
          <w:rFonts w:ascii="Calibri" w:cs="Calibri" w:eastAsia="Calibri" w:hAnsi="Calibri"/>
          <w:sz w:val="14"/>
          <w:szCs w:val="14"/>
          <w:u w:val="single" w:color="auto"/>
          <w:color w:val="auto"/>
        </w:rPr>
        <w:t xml:space="preserve">)</w:t>
      </w:r>
    </w:p>
    <w:p>
      <w:pPr>
        <w:spacing w:after="0" w:line="12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color w:val="auto"/>
        </w:rPr>
        <w:t xml:space="preserve">Cena rynkowa: $1.29 za Euro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80" w:hanging="140"/>
        <w:spacing w:after="0"/>
        <w:tabs>
          <w:tab w:leader="none" w:pos="280" w:val="left"/>
        </w:tabs>
        <w:numPr>
          <w:ilvl w:val="0"/>
          <w:numId w:val="3"/>
        </w:numPr>
        <w:rPr>
          <w:rFonts w:ascii="Symbol" w:cs="Symbol" w:eastAsia="Symbol" w:hAnsi="Symbol"/>
          <w:sz w:val="14"/>
          <w:szCs w:val="14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color w:val="auto"/>
        </w:rPr>
        <w:t xml:space="preserve">Korzystny dla pisarza: + 400 $ otrzymanie premii</w:t>
      </w:r>
    </w:p>
    <w:p>
      <w:pPr>
        <w:spacing w:after="0" w:line="39" w:lineRule="exact"/>
        <w:rPr>
          <w:rFonts w:ascii="Symbol" w:cs="Symbol" w:eastAsia="Symbol" w:hAnsi="Symbol"/>
          <w:sz w:val="14"/>
          <w:szCs w:val="14"/>
          <w:color w:val="auto"/>
        </w:rPr>
      </w:pPr>
    </w:p>
    <w:p>
      <w:pPr xmlns:w="http://schemas.openxmlformats.org/wordprocessingml/2006/main">
        <w:ind w:left="280" w:hanging="140"/>
        <w:spacing w:after="0"/>
        <w:tabs>
          <w:tab w:leader="none" w:pos="280" w:val="left"/>
        </w:tabs>
        <w:numPr>
          <w:ilvl w:val="0"/>
          <w:numId w:val="3"/>
        </w:numPr>
        <w:rPr>
          <w:rFonts w:ascii="Symbol" w:cs="Symbol" w:eastAsia="Symbol" w:hAnsi="Symbol"/>
          <w:sz w:val="16"/>
          <w:szCs w:val="16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color w:val="auto"/>
        </w:rPr>
        <w:t xml:space="preserve">Niekorzystny dla posiadacza: - 400 USD premii</w:t>
      </w:r>
    </w:p>
    <w:p>
      <w:pPr>
        <w:spacing w:after="0" w:line="16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40"/>
        <w:spacing w:after="0" w:line="22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u w:val="single" w:color="auto"/>
          <w:color w:val="auto"/>
        </w:rPr>
        <w:t xml:space="preserve">Wartość progu rentowności występuje, gdy dominująca cena rynkowa instrumentu bazowego jest wyższa niż cena wykonania, tak że wartość P/L wynosi zero zarówno dla emitenta, jak i dla posiadacza.</w:t>
      </w:r>
    </w:p>
    <w:p>
      <w:pPr>
        <w:spacing w:after="0" w:line="106" w:lineRule="exact"/>
        <w:rPr>
          <w:sz w:val="20"/>
          <w:szCs w:val="20"/>
          <w:color w:val="auto"/>
        </w:rPr>
      </w:pPr>
    </w:p>
    <w:p>
      <w:pPr>
        <w:sectPr>
          <w:pgSz w:w="12240" w:h="15840" w:orient="portrait"/>
          <w:cols w:equalWidth="0" w:num="2">
            <w:col w:w="5960" w:space="460"/>
            <w:col w:w="3900"/>
          </w:cols>
          <w:pgMar w:left="940" w:top="706" w:right="980" w:bottom="423" w:gutter="0" w:footer="0" w:header="0"/>
          <w:type w:val="continuous"/>
        </w:sectPr>
      </w:pPr>
    </w:p>
    <w:p>
      <w:pPr xmlns:w="http://schemas.openxmlformats.org/wordprocessingml/2006/main">
        <w:spacing w:after="0" w:line="23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Wykres ilustruje, jak Twoja inwestycja może się sprawdzić.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Można to porównać do wykresów wypłat dla innych instrumentów pochodnych.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Wykres przedstawia szereg możliwych wyników i nie jest dokładną wskazówką, co możesz otrzymać.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Inwestowanie w ten produkt oznacza, że uważasz, że cena bazowa wzrośnie.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To, co otrzymasz różni się w zależności od tego, jak wartość instrumentu bazowego zmienia się w czasie, co zależy od przyszłych wyników rynkowych, które są niepewne i nie można ich przewidzieć.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Dla dwóch wartości instrumentu bazowego wykres pokazuje, jaki byłby zysk lub strata produktu.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Oś pozioma pokazuje możliwe wartości linii bazowej, a oś pionowa pokazuje zysk lub stratę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Przedstawione dane liczbowe obejmują wszystkie koszty samego produktu, ale mogą nie obejmować wszystkich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20320</wp:posOffset>
                </wp:positionV>
                <wp:extent cx="6689725" cy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97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3499pt,1.6pt" to="521.4pt,1.6pt" o:allowincell="f" strokecolor="#000000" strokeweight="0.4799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320"/>
          </w:cols>
          <w:pgMar w:left="940" w:top="706" w:right="980" w:bottom="423" w:gutter="0" w:footer="0" w:header="0"/>
          <w:type w:val="continuous"/>
        </w:sectPr>
      </w:pPr>
    </w:p>
    <w:bookmarkStart w:id="2" w:name="page3"/>
    <w:bookmarkEnd w:id="2"/>
    <w:p>
      <w:pPr xmlns:w="http://schemas.openxmlformats.org/wordprocessingml/2006/main">
        <w:ind w:left="220" w:right="50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459740</wp:posOffset>
                </wp:positionV>
                <wp:extent cx="6690360" cy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6.2pt" to="568.4pt,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807085</wp:posOffset>
                </wp:positionV>
                <wp:extent cx="6690360" cy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63.55pt" to="568.4pt,63.55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6618605</wp:posOffset>
                </wp:positionV>
                <wp:extent cx="6690360" cy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521.15pt" to="568.4pt,521.1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8159115</wp:posOffset>
                </wp:positionV>
                <wp:extent cx="6690360" cy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642.45pt" to="568.4pt,642.4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531495</wp:posOffset>
                </wp:positionH>
                <wp:positionV relativeFrom="page">
                  <wp:posOffset>457200</wp:posOffset>
                </wp:positionV>
                <wp:extent cx="0" cy="898525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852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85pt,36pt" to="41.85pt,743.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7216140</wp:posOffset>
                </wp:positionH>
                <wp:positionV relativeFrom="page">
                  <wp:posOffset>457200</wp:posOffset>
                </wp:positionV>
                <wp:extent cx="0" cy="898525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852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8.2pt,36pt" to="568.2pt,743.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koszty, które ponosisz na rzecz swojego doradcy lub dystrybutora i nie uwzględniają Twojej osobistej sytuacji podatkowej, która może mieć również wpływ na wysokość otrzymywanych przez Ciebie kwot.</w:t>
      </w:r>
    </w:p>
    <w:p>
      <w:pPr>
        <w:spacing w:after="0" w:line="7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160"/>
        <w:spacing w:after="0" w:line="2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Co się stanie, jeśli OCC nie będzie w stanie wypłacić?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Zasady UOKiK zostały zaprojektowane w taki sposób, aby wyniki dotyczące wszystkich opcji były pomiędzy UOKiK a grupą firm maklerskich zwanych członkami rozliczającymi, które posiadają pozycje wszystkich posiadaczy opcji i emitentów na swoich rachunkach UOKiK.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Członkowie rozliczający muszą spełniać wymogi finansowe UOKiK w zakresie uczestnictwa oraz ustanawiać zabezpieczenia dla pozycji emitentów opcji, które są przez nich notowane.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Biuro maklerskie emitenta może wymagać od inwestora dostarczenia powiązanych zabezpieczeń w związku z pozycjami, jak opisano poniżej.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procesie nowacji prawnej OCC staje się kupującym dla każdego sprzedającego członka rozliczającego, a sprzedającym dla każdego kupującego członka rozliczającego.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System ten ma na celu wsparcie realizacji opcji oraz zarządzanie ryzykiem kontrahenta, aby ułatwić rozrachunek transakcji opcjami w przypadku, gdy członek rozliczający nie wywiązuje się ze swoich zobowiązań.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Istnieje jednak ryzyko, że OCC może nie mieć wystarczających środków finansowych na uregulowanie zobowiązań i możesz ponieść stratę do wysokości każdej kwoty należnej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Ci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auto"/>
        </w:rPr>
        <w:t xml:space="preserve">z tytułu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zobowiązania.</w:t>
      </w:r>
    </w:p>
    <w:p>
      <w:pPr>
        <w:spacing w:after="0" w:line="2" w:lineRule="exact"/>
        <w:rPr>
          <w:sz w:val="20"/>
          <w:szCs w:val="20"/>
          <w:color w:val="auto"/>
        </w:rPr>
      </w:pPr>
    </w:p>
    <w:tbl>
      <w:tblPr>
        <w:tblLayout w:type="fixed"/>
        <w:tblInd w:w="1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80"/>
        </w:trPr>
        <w:tc>
          <w:tcPr>
            <w:tcW w:w="520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5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b w:val="1"/>
                <w:bCs w:val="1"/>
                <w:color w:val="auto"/>
              </w:rPr>
              <w:t xml:space="preserve">Jakie są koszty?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Osoba doradzająca lub sprzedająca</w:t>
            </w: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top w:val="single" w:sz="8" w:color="auto"/>
              <w:bottom w:val="single" w:sz="8" w:color="auto"/>
              <w:right w:val="single" w:sz="8" w:color="DADADA"/>
            </w:tcBorders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b w:val="1"/>
                <w:bCs w:val="1"/>
                <w:color w:val="auto"/>
              </w:rPr>
              <w:t xml:space="preserve">Koszty W Czasie</w:t>
            </w:r>
          </w:p>
        </w:tc>
        <w:tc>
          <w:tcPr>
            <w:tcW w:w="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Zakończenie pracy</w:t>
            </w:r>
          </w:p>
        </w:tc>
        <w:tc>
          <w:tcPr>
            <w:tcW w:w="14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2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Ten produkt może obciążać Cię innymi kosztami.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Jeżeli tak,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ogółem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Różne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2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Osoba ta przekaże Ci informacje na temat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w w:val="98"/>
              </w:rPr>
              <w:t xml:space="preserve">Roczny wpływ na koszty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Różne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5200" w:type="dxa"/>
            <w:vAlign w:val="bottom"/>
          </w:tcPr>
          <w:p>
            <w:pPr xmlns:w="http://schemas.openxmlformats.org/wordprocessingml/2006/main">
              <w:ind w:left="100"/>
              <w:spacing w:after="0" w:line="23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te koszty i ich wpływ na Twoją inwestycję.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Łączne koszty standardowych opcji walutowych zależą</w:t>
            </w: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0" w:type="dxa"/>
            <w:vAlign w:val="bottom"/>
            <w:tcBorders>
              <w:top w:val="single" w:sz="8" w:color="auto"/>
              <w:bottom w:val="single" w:sz="8" w:color="auto"/>
              <w:right w:val="single" w:sz="8" w:color="DADADA"/>
            </w:tcBorders>
            <w:gridSpan w:val="7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b w:val="1"/>
                <w:bCs w:val="1"/>
                <w:color w:val="auto"/>
              </w:rPr>
              <w:t xml:space="preserve">Struktura kosztów</w:t>
            </w:r>
          </w:p>
        </w:tc>
        <w:tc>
          <w:tcPr>
            <w:tcW w:w="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na wiele czynników.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Premia opcyjna to koszt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80" w:type="dxa"/>
            <w:vAlign w:val="bottom"/>
            <w:tcBorders>
              <w:bottom w:val="single" w:sz="8" w:color="auto"/>
            </w:tcBorders>
            <w:gridSpan w:val="6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Jednorazowe koszty przy wjeździe lub wyjeździe</w:t>
            </w: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Kwota (początkowa)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wpłacone przez posiadacza na rzecz autora.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Czynniki mające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Premia (określona przez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istotny wpływ na składkę obejmuje, ale nie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18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wejścia (na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18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kupującego i sprzedającego),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Transakcja —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Komisja (ustalona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są ograniczone do względnych wartości instrumentu bazowego i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otwarcie (wejście)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przez biuro maklerskie)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obrót walutami, czas do wygaśnięcia opcji,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wyjścia (na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1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i ceny wykonania.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Opcje inwestycji obejmują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Transakcja —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3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dodatkowe koszty uwzględniające kwestie podatkowe,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zamykanie (wyjście)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Premium, Komisja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koszty transakcyjne i wymagania dotyczące marży, które mogą</w:t>
            </w: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DADADA"/>
            </w:tcBorders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Kwota (w dowolnej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DADADA"/>
            </w:tcBorders>
            <w:vMerge w:val="restart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Bieżące</w:t>
            </w: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czasu)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istotnie wpływają na wynik finansowy.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Koszty transakcyjne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DADADA"/>
            </w:tcBorders>
            <w:vMerge w:val="continue"/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Zarządzanie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składają się głównie z prowizji (które są nakładane)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Opłaty i inne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 otwieraniu, zamykaniu, wykonywaniu i przydzielaniu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administracyjne lub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ma zarządzania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transakcji), ale może również zawierać depozyt zabezpieczający oraz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operacyjne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spacing w:after="0" w:line="18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w w:val="93"/>
              </w:rPr>
              <w:t xml:space="preserve">opłata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DOTYCZY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4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koszty odsetek.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Depozyt zabezpieczający oznacza aktywa, które należy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19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Depozyt zabezpieczający (wymagania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zdeponowane przez pisarza w jego firmie maklerskiej jako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169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mogą ulec zmianie, oraz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169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transakcyjne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może się różnić w zależności od rodzaju pośrednictwa)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(w toku)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zabezpieczenie zobowiązania, stosownie do przypadku, do zakupu lub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80" w:type="dxa"/>
            <w:vAlign w:val="bottom"/>
            <w:gridSpan w:val="6"/>
            <w:vMerge w:val="restart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highlight w:val="lightGray"/>
              </w:rPr>
              <w:t xml:space="preserve">Koszty uboczne ponoszone na określonych warunkach</w:t>
            </w: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5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sprzedać odsetki bazowe lub zapłacić rozliczenie pieniężne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80" w:type="dxa"/>
            <w:vAlign w:val="bottom"/>
            <w:tcBorders>
              <w:bottom w:val="single" w:sz="8" w:color="auto"/>
            </w:tcBorders>
            <w:gridSpan w:val="6"/>
            <w:vMerge w:val="continue"/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Opłaty za wyniki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Brak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DOTYCZY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1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kwoty.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W przypadku wykonania i przypisania opcji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0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20" w:right="22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Pisarz może ponieść dodatkowe koszty.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Niezależnie od kosztów inwestorskich, OCC pobiera związane z tym opłaty za rozliczenie tego produktu swoim członkom rozliczającym, ale nie bezpośrednio Tobie: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https://www.theocc.com/company-information/schedule-of-fees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</w:p>
    <w:p>
      <w:pPr>
        <w:spacing w:after="0" w:line="1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długo mam go trzymać i czy mogę wcześnie wyjść z transakcji (czy mogę wcześniej wyjąć pieniądze)?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200"/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Zalecany okres przechowywania: Brak.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Decyzja o wykonaniu opcji jest dla posiadacza kluczową decyzją inwestycyjną, podobnie jak decyzja zarówno posiadaczy opcji, jak i emitentów o zamknięciu istniejącej pozycji opcyjnej przed wygaśnięciem opcji lub jej wykonaniem i przypisaniem poprzez zawarcie transakcji zamknięcia.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związku z tym inwestorzy ponoszą wyłączną odpowiedzialność za ustalenie, czy i kiedy powinni wykonać swoją umowę (umowy) opcji oraz czy zamknąć istniejącą pozycję opcyjną.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Inwestorzy, którzy zamykają istniejącą pozycję opcyjną, rezygnują z wszelkich późniejszych zysków lub strat związanych z tą opcją.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Wszystkie opcje mają datę wygaśnięcia, po której opcja nie będzie miała wartości i nie będzie już istnieć.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Posiadacze opcji w stylu amerykańskim, którzy chcą skorzystać z nich przed upływem terminu ważności, mogą to zrobić, przekazując brokerowi instrukcje dotyczące wykonania opcji, zgodnie z procedurą brokera.</w:t>
      </w:r>
    </w:p>
    <w:p>
      <w:pPr>
        <w:spacing w:after="0" w:line="8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460"/>
        <w:spacing w:after="0" w:line="22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mogę złożyć skargę?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mogą kontaktować się z OCC pod adresem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investorservices@theocc.com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mogą również złożyć skargę do Urzędu Regulacji Sektora Finansowego ("FINRA")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http://www.finra.org/investors/investor-complaint-center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) lub SEC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https://www.sec.gov/oiea/Complaint.html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).</w:t>
      </w:r>
    </w:p>
    <w:p>
      <w:pPr>
        <w:spacing w:after="0" w:line="16" w:lineRule="exact"/>
        <w:rPr>
          <w:sz w:val="20"/>
          <w:szCs w:val="20"/>
          <w:color w:val="auto"/>
        </w:rPr>
      </w:pPr>
    </w:p>
    <w:tbl>
      <w:tblPr>
        <w:tblLayout w:type="fixed"/>
        <w:tblInd w:w="3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85"/>
        </w:trPr>
        <w:tc>
          <w:tcPr>
            <w:tcW w:w="468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Centrum Reklamacji Inwestorów FINRA</w:t>
            </w:r>
          </w:p>
        </w:tc>
        <w:tc>
          <w:tcPr>
            <w:tcW w:w="452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Komisja Papierów Wartościowych i Giełd USA</w:t>
            </w:r>
          </w:p>
        </w:tc>
      </w:tr>
      <w:tr>
        <w:trPr>
          <w:trHeight w:val="300"/>
        </w:trPr>
        <w:tc>
          <w:tcPr>
            <w:tcW w:w="4680" w:type="dxa"/>
            <w:vAlign w:val="bottom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9509 Key West Avenue</w:t>
            </w:r>
          </w:p>
        </w:tc>
        <w:tc>
          <w:tcPr>
            <w:tcW w:w="452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Biuro Edukacji i Rzecznictwa Inwestorskiego</w:t>
            </w:r>
          </w:p>
        </w:tc>
      </w:tr>
      <w:tr>
        <w:trPr>
          <w:trHeight w:val="300"/>
        </w:trPr>
        <w:tc>
          <w:tcPr>
            <w:tcW w:w="4680" w:type="dxa"/>
            <w:vAlign w:val="bottom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Rockville, MD 20850-3329</w:t>
            </w:r>
          </w:p>
        </w:tc>
        <w:tc>
          <w:tcPr>
            <w:tcW w:w="452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100 F Street, Gdzie Indziej Niewymienione.</w:t>
            </w:r>
          </w:p>
        </w:tc>
      </w:tr>
      <w:tr>
        <w:trPr>
          <w:trHeight w:val="300"/>
        </w:trPr>
        <w:tc>
          <w:tcPr>
            <w:tcW w:w="4680" w:type="dxa"/>
            <w:vAlign w:val="bottom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Telefon: (240) 386-HELP (4357) Faks: (866) 397-3290</w:t>
            </w:r>
          </w:p>
        </w:tc>
        <w:tc>
          <w:tcPr>
            <w:tcW w:w="452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  <w:w w:val="99"/>
              </w:rPr>
              <w:t xml:space="preserve">Waszyngton, DC 20549-0213 Faks: (202) 772-9295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16510</wp:posOffset>
                </wp:positionV>
                <wp:extent cx="6690360" cy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" o:spid="_x0000_s105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.6pt,1.3pt" to="532.4pt,1.3pt" o:allowincell="f" strokecolor="#000000" strokeweight="0.4799pt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©2023 The Options Clearing Corporation.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Wszelkie prawa zastrzeżone.</w:t>
      </w:r>
    </w:p>
    <w:sectPr>
      <w:pgSz w:w="12240" w:h="15840" w:orient="portrait"/>
      <w:cols w:equalWidth="0" w:num="1">
        <w:col w:w="10640"/>
      </w:cols>
      <w:pgMar w:left="720" w:top="774" w:right="880" w:bottom="158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auto"/>
    <w:pitch w:val="variable"/>
    <w:sig w:usb0="00000000" w:usb1="0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w:abstractNumId="0">
    <w:nsid w:val="FAE289C"/>
    <w:multiLevelType w:val="hybridMultilevel"/>
    <w:lvl w:ilvl="0">
      <w:lvlJc w:val="left"/>
      <w:lvlText w:val="·"/>
      <w:numFmt w:val="bullet"/>
      <w:start w:val="1"/>
    </w:lvl>
  </w:abstractNum>
  <w:abstractNum w:abstractNumId="1">
    <w:nsid w:val="36FFC703"/>
    <w:multiLevelType w:val="hybridMultilevel"/>
    <w:lvl w:ilvl="0">
      <w:lvlJc w:val="left"/>
      <w:lvlText w:val="·"/>
      <w:numFmt w:val="bullet"/>
      <w:start w:val="1"/>
    </w:lvl>
  </w:abstractNum>
  <w:abstractNum w:abstractNumId="2">
    <w:nsid w:val="46592A68"/>
    <w:multiLevelType w:val="hybridMultilevel"/>
    <w:lvl w:ilvl="0">
      <w:lvlJc w:val="left"/>
      <w:lvlText w:val="·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3" Type="http://schemas.openxmlformats.org/officeDocument/2006/relationships/image" Target="media/image2.jpeg"/><Relationship Id="rId14" Type="http://schemas.openxmlformats.org/officeDocument/2006/relationships/image" Target="media/image3.png"/><Relationship Id="rId15" Type="http://schemas.openxmlformats.org/officeDocument/2006/relationships/image" Target="media/image4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2024-05-21T09:39:52Z</dcterms:created>
  <dcterms:modified xsi:type="dcterms:W3CDTF">2024-05-21T09:39:52Z</dcterms:modified>
</cp:coreProperties>
</file>