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37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396240</wp:posOffset>
            </wp:positionH>
            <wp:positionV relativeFrom="page">
              <wp:posOffset>360045</wp:posOffset>
            </wp:positionV>
            <wp:extent cx="1419225" cy="4762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KLUCZOWE INFORMACJE DLA INWESTORÓW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720" w:right="12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Niniejszy dokument zawiera kluczowe informacje dla inwestorów na temat tego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Informacje te są wymagane przez prawo, aby pomóc Ci zrozumieć charakter i ryzyko inwestowania w ten Fundusz.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Zachęcamy do zapoznania się z nią, aby móc podjąć świadomą decyzję o ewentualnej inwestycji.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-24765</wp:posOffset>
            </wp:positionV>
            <wp:extent cx="6767830" cy="8089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808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"/>
        <w:spacing w:after="0"/>
        <w:tabs>
          <w:tab w:leader="none" w:pos="53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color w:val="FFFFFF"/>
        </w:rPr>
        <w:t xml:space="preserve">Zróżnicowany Swap Towarowy UCITS na akcje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29"/>
          <w:szCs w:val="29"/>
          <w:color w:val="auto"/>
          <w:vertAlign w:val="superscript"/>
        </w:rPr>
        <w:t xml:space="preserve">Klasa akcji USD (Acc)</w:t>
      </w:r>
    </w:p>
    <w:p>
      <w:pPr xmlns:w="http://schemas.openxmlformats.org/wordprocessingml/2006/main">
        <w:ind w:left="5400"/>
        <w:spacing w:after="0" w:line="203" w:lineRule="auto"/>
        <w:tabs>
          <w:tab w:leader="none" w:pos="74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ISIN: IE00BDFL4P12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Fundusz typu ETF (ang. Exchange Traded Fund)</w:t>
      </w:r>
    </w:p>
    <w:p>
      <w:pPr xmlns:w="http://schemas.openxmlformats.org/wordprocessingml/2006/main">
        <w:ind w:left="60"/>
        <w:spacing w:after="0" w:line="18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FFFFFF"/>
        </w:rPr>
        <w:t xml:space="preserve">ETF</w:t>
      </w:r>
    </w:p>
    <w:p>
      <w:pPr xmlns:w="http://schemas.openxmlformats.org/wordprocessingml/2006/main">
        <w:ind w:left="5400"/>
        <w:spacing w:after="0" w:line="21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Menedżer: BlackRock Asset Management Ireland Limited</w:t>
      </w: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FFFFFF"/>
        </w:rPr>
        <w:t xml:space="preserve">Subfundusz akcji iShares VI plc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Cele i polityka inwestycyjna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6767830" cy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40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Klasa akcji to klasa akcji Funduszu, której celem jest uzyskanie zwrotu z inwestycji poprzez połączenie wzrostu kapitału i dochodu z aktywów Funduszu, co odzwierciedla zwrot z indeksu Bloomberg Commodity USD Total Return Index, indeksu referencyjnego Funduszu (Index).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2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służy do pomiaru rentowności kontraktów terminowych na towary giełdowe, wchodzących w skład Indeksu Bloomberg Commodity (BCOM), w połączeniu z wartością referencyjną kontraktów, które zostały zainwestowane według ostatniej tygodniowej stopy aukcyjnej dla 3-miesięcznych amerykańskich bonów skarbowych.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BCOM został zaprojektowany jako wysoce płynny i zdywersyfikowany wzorzec dla inwestycji w surowce, reprezentujących sektory energetyczny, rolny, metali przemysłowych, metali szlachetnych i zwierząt gospodarskich.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BCOM ma na celu zapewnienie szerokiej ekspozycji na towary jako klasę aktywów, ponieważ żaden pojedynczy sektor towarowy lub towarowy nie jest dominujący.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BCOM jest ważony w oparciu o produkcję bazowych towarów (tj. im wyższy wolumen produkcji towaru, tym wyższa jest waga tego towaru w BCOM) oraz płynność kontraktów terminowych na bazowe towary.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Z wyjątkiem kilku kontraktów na metale (tj. aluminium, ołów, cynę, nikiel i cynk), które są przedmiotem obrotu na Londyńskiej Giełdzie Metali oraz kontraktu na ropę naftową Brent, każdy z towarów dostępnych do włączenia do Indeksu jest przedmiotem co najmniej jednego kontraktu terminowego, który jest przedmiotem obrotu na giełdzie w USA.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30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inwestuje w pochodne instrumenty finansowe (BIZ), a w szczególności będzie inwestował w swapy przychodu całkowitego niefinansowane, aby osiągnąć swój cel inwestycyjny.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Umowa swapowa jest zazwyczaj stosowana w celu osiągnięcia określonego zwrotu określonego przez instrument bazowy, taki jak zwrot z indeksu.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może inwestować bezpośrednio w amerykańskie bony skarbowe, instrumenty rynku pieniężnego, w tym instrumenty emitowane lub gwarantowane przez rządy lub międzynarodowe organy publiczne na całym świecie, oraz depozyty w instytucjach kredytowych.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może również inwestować w papiery wartościowe, certyfikaty depozytowe, papiery dłużne komercyjne i inne papiery wartościowe o stałym dochodzie lub fundusze rynku pieniężnego.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Celem Funduszu jest odtworzenie wyników Indeksu poprzez pozyskanie pośredniej ekspozycji poprzez BIZ na poszczególne składniki Indeksu.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Zalecenie: Fundusz ten jest odpowiedni dla inwestycji średnio- i długoterminowych, chociaż może być również odpowiedni dla krótkoterminowego zaangażowania w indeks.</w:t>
      </w:r>
    </w:p>
    <w:p>
      <w:pPr>
        <w:spacing w:after="0" w:line="5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Twoje akcje będą akumulowanymi udziałami (tzn. dochód zostanie uwzględniony w ich wartości).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Twoje akcje będą denominowane w dolarach amerykańskich, walucie bazowej Funduszu.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8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Akcje są notowane na jednej lub kilku giełdach i mogą być przedmiotem obrotu w walutach innych niż ich waluta bazowa.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Różnica kursów walut może mieć wpływ na wydajność Twoich akcji.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normalnych okolicznościach wyłącznie uprawnieni uczestnicy (np. wybrane instytucje finansowe) mogą dokonywać transakcji na akcjach (lub udziałach w akcjach) bezpośrednio z Funduszem.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Inni inwestorzy mogą dokonywać codziennych transakcji na akcjach (lub udziałach w akcjach) poprzez pośrednika na giełdzie (giełdach), na której akcje są przedmiotem obrotu.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Orientacyjna wartość aktywów netto publikowana jest na odpowiednich stronach internetowych giełd.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Więcej informacji na temat Funduszu, klasy akcji, ryzyka i opłat można znaleźć w prospekcie emisyjnym Funduszu dostępnym na stronach dotyczących produktów pod adresem www.blackrock.com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Profil ryzyka i zysku</w:t>
      </w:r>
    </w:p>
    <w:p>
      <w:pPr>
        <w:sectPr>
          <w:pgSz w:w="11900" w:h="16838" w:orient="portrait"/>
          <w:cols w:equalWidth="0" w:num="1">
            <w:col w:w="10600"/>
          </w:cols>
          <w:pgMar w:left="640" w:top="573" w:right="666" w:bottom="0" w:gutter="0" w:footer="0" w:header="0"/>
        </w:sectPr>
      </w:pP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8"/>
        </w:trPr>
        <w:tc>
          <w:tcPr>
            <w:tcW w:w="2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Niższe ryzyko</w:t>
            </w:r>
          </w:p>
        </w:tc>
        <w:tc>
          <w:tcPr>
            <w:tcW w:w="2620" w:type="dxa"/>
            <w:vAlign w:val="bottom"/>
            <w:shd w:val="clear" w:color="auto" w:fill="000000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Wyższe ryzyko</w:t>
            </w:r>
          </w:p>
        </w:tc>
      </w:tr>
      <w:tr>
        <w:trPr>
          <w:trHeight w:val="207"/>
        </w:trPr>
        <w:tc>
          <w:tcPr>
            <w:tcW w:w="2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FFFFFF"/>
              </w:rPr>
              <w:t xml:space="preserve">Zazwyczaj niższe nagrody</w:t>
            </w:r>
          </w:p>
        </w:tc>
        <w:tc>
          <w:tcPr>
            <w:tcW w:w="2620" w:type="dxa"/>
            <w:vAlign w:val="bottom"/>
            <w:shd w:val="clear" w:color="auto" w:fill="000000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FFFFFF"/>
              </w:rPr>
              <w:t xml:space="preserve">Zwykle wyższe nagrody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12700</wp:posOffset>
            </wp:positionV>
            <wp:extent cx="3258185" cy="33464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185" cy="334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393065</wp:posOffset>
            </wp:positionV>
            <wp:extent cx="3329940" cy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-323215</wp:posOffset>
            </wp:positionV>
            <wp:extent cx="6767830" cy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8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Wskaźnik ten opiera się na danych historycznych i może nie być wiarygodnym wskaźnikiem przyszłego profilu ryzyka tej klasy akcji.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-261620</wp:posOffset>
            </wp:positionV>
            <wp:extent cx="45720" cy="774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Podana kategoria ryzyka nie jest gwarantowana i może się zmieniać w czasie.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-83820</wp:posOffset>
            </wp:positionV>
            <wp:extent cx="45720" cy="7747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Najniższa kategoria nie oznacza braku ryzyka.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-84455</wp:posOffset>
            </wp:positionV>
            <wp:extent cx="45720" cy="7747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60"/>
        <w:spacing w:after="0" w:line="29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Klasa akcji jest oceniana na sześć ze względu na charakter inwestycji, które obejmują ryzyka wymienione poniżej.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Czynniki te mogą mieć wpływ na wartość klasy akcji lub narażać klasę akcji na straty.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-391160</wp:posOffset>
            </wp:positionV>
            <wp:extent cx="45720" cy="7747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00" w:right="20" w:hanging="153"/>
        <w:spacing w:after="0" w:line="208" w:lineRule="auto"/>
        <w:tabs>
          <w:tab w:leader="none" w:pos="300" w:val="left"/>
        </w:tabs>
        <w:numPr>
          <w:ilvl w:val="0"/>
          <w:numId w:val="1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inwestycyjne koncentruje się w określonych sektorach, krajach, walutach lub przedsiębiorstwach.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Oznacza to, że Fundusz jest bardziej wrażliwy na wszelkie lokalne wydarzenia gospodarcze, rynkowe, polityczne, związane ze zrównoważonym rozwojem lub regulacyjne.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hanging="159"/>
        <w:spacing w:after="0" w:line="250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33"/>
          <w:szCs w:val="33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Instrumenty pochodne mogą być wysoce wrażliwe na zmiany wartości aktywów, na których się opierają, i mogą zwiększać wielkość strat i zysków, co skutkuje większymi wahaniami wartości Funduszu.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Wpływ na fundusz może być większy, jeżeli instrumenty pochodne są wykorzystywane w sposób rozległy lub złożony.</w:t>
      </w:r>
    </w:p>
    <w:p>
      <w:pPr>
        <w:spacing w:after="0" w:line="29" w:lineRule="exact"/>
        <w:rPr>
          <w:rFonts w:ascii="Arial" w:cs="Arial" w:eastAsia="Arial" w:hAnsi="Arial"/>
          <w:sz w:val="33"/>
          <w:szCs w:val="33"/>
          <w:color w:val="auto"/>
          <w:vertAlign w:val="subscript"/>
        </w:rPr>
      </w:pPr>
    </w:p>
    <w:p>
      <w:pPr xmlns:w="http://schemas.openxmlformats.org/wordprocessingml/2006/main">
        <w:ind w:left="160" w:right="200" w:hanging="159"/>
        <w:spacing w:after="0" w:line="193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33"/>
          <w:szCs w:val="33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Ceny towarów zazwyczaj wykazują większe wahania niż inne klasy aktywów (np. akcje lub papiery wartościowe o stałym dochodzie).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Inwestycje w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Towary są zatem potencjalnie bardziej ryzykowne niż inne rodzaje inwestycji.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Poszczególne rodzaje ryzyka nieodpowiednio ujęte we wskaźniku ryzyka obejmują: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-102235</wp:posOffset>
            </wp:positionH>
            <wp:positionV relativeFrom="paragraph">
              <wp:posOffset>-83820</wp:posOffset>
            </wp:positionV>
            <wp:extent cx="45720" cy="7747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120" w:hanging="159"/>
        <w:spacing w:after="0" w:line="20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kontrahenta: Niewypłacalność instytucji świadczących usługi, takie jak przechowywanie aktywów lub działających jako kontrahent instrumentów pochodnych lub innych instrumentów, może narazić klasę akcji na straty finansowe.</w:t>
      </w:r>
    </w:p>
    <w:p>
      <w:pPr>
        <w:spacing w:after="0" w:line="28" w:lineRule="exact"/>
        <w:rPr>
          <w:rFonts w:ascii="Arial" w:cs="Arial" w:eastAsia="Arial" w:hAnsi="Arial"/>
          <w:sz w:val="37"/>
          <w:szCs w:val="37"/>
          <w:color w:val="auto"/>
          <w:vertAlign w:val="subscript"/>
        </w:rPr>
      </w:pPr>
    </w:p>
    <w:p>
      <w:pPr xmlns:w="http://schemas.openxmlformats.org/wordprocessingml/2006/main">
        <w:ind w:left="160" w:right="120" w:hanging="159"/>
        <w:spacing w:after="0" w:line="265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Zdolność Funduszu do śledzenia wyników wskaźnika referencyjnego zależy od kontrahentów, którzy stale dostarczają wyniki wskaźnika referencyjnego zgodnie z umowami swapowymi (tj. ryzykiem kontrahenta), i będzie również zależeć od wszelkich różnic między ceną swapów a ceną wskaźnika referencyjnego.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Jeżeli jakikolwiek kontrahent swapu nie dostarczy wystarczających aktywów jako zabezpieczenia kwot należnych Funduszowi, może wystąpić w danym momencie zwiększona ekspozycja na ryzyko kontrahenta.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5180" w:space="380"/>
            <w:col w:w="5040"/>
          </w:cols>
          <w:pgMar w:left="640" w:top="573" w:right="666" w:bottom="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Wskaźnik referencyjny stanowi własność intelektualną dostawcy indeksu.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 Klasa udziału nie jest sponsorowana ani wspierana przez dostawcę indeksu.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 Pełne wyłączenie odpowiedzialności znajduje się w prospekcie emisyjnym Funduszu.</w:t>
      </w:r>
    </w:p>
    <w:p>
      <w:pPr>
        <w:sectPr>
          <w:pgSz w:w="11900" w:h="16838" w:orient="portrait"/>
          <w:cols w:equalWidth="0" w:num="1">
            <w:col w:w="10600"/>
          </w:cols>
          <w:pgMar w:left="640" w:top="573" w:right="666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color w:val="auto"/>
        </w:rPr>
        <w:t xml:space="preserve">Opłaty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52070</wp:posOffset>
            </wp:positionV>
            <wp:extent cx="6767830" cy="952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60"/>
          </w:cols>
          <w:pgMar w:left="620" w:top="609" w:right="626" w:bottom="0" w:gutter="0" w:footer="0" w:header="0"/>
        </w:sectPr>
      </w:pPr>
    </w:p>
    <w:p>
      <w:pPr>
        <w:spacing w:after="0" w:line="1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60"/>
        <w:spacing w:after="0" w:line="31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Opłaty te są przeznaczone na pokrycie kosztów prowadzenia Klasy Akcji, w tym kosztów jej marketingu i dystrybucji.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Opłaty te zmniejszają potencjalny wzrost Państwa inwestycji.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240"/>
        <w:spacing w:after="0" w:line="31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* Nie dotyczy inwestorów rynku wtórnego.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Inwestorzy giełdowi będą ponosić opłaty pobierane przez swoich maklerów giełdowych.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Takie opłaty są publicznie dostępne na giełdach, na których akcje są notowane i znajdują się w obrocie, lub można je uzyskać od maklerów giełdowych.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14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* Upoważnieni uczestnicy mający bezpośredni kontakt z Funduszem będą ponosić związane z tym koszty transakcyjne, w tym - w przypadku umorzeń - wszelkie mające zastosowanie podatki od zysków kapitałowych (CGT) i inne podatki od bazowych papierów wartościowych.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 w:line="33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Kwota opłat bieżących opiera się na stałej rocznej opłacie pobieranej od klasy akcji zgodnie z prospektem emisyjnym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Kwota ta nie obejmuje kosztów związanych z handlem portfelem, z wyjątkiem kosztów poniesionych na rzecz depozytariusza oraz wszelkich opłat za wejście/wyjście uiszczonych na rzecz bazowego systemu zbiorowego inwestowania (jeżeli takie istnieją).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 w:hanging="6"/>
        <w:spacing w:after="0" w:line="333" w:lineRule="auto"/>
        <w:tabs>
          <w:tab w:leader="none" w:pos="239" w:val="left"/>
        </w:tabs>
        <w:numPr>
          <w:ilvl w:val="0"/>
          <w:numId w:val="4"/>
        </w:numPr>
        <w:rPr>
          <w:rFonts w:ascii="Arial" w:cs="Arial" w:eastAsia="Arial" w:hAnsi="Arial"/>
          <w:sz w:val="15"/>
          <w:szCs w:val="15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 zakresie, w jakim Fundusz udziela pożyczek papierów wartościowych w celu obniżenia kosztów, Fundusz otrzyma 62.5 % związanych z tym przychodów, a pozostałe 37.5 % zostanie otrzymane przez BlackRock jako podmiot udzielający pożyczek papierów wartościowych.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Ponieważ podział przychodów z pożyczek papierów wartościowych nie zwiększa kosztów funkcjonowania Funduszu, nie jest on uwzględniany w bieżących opłatach.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3175</wp:posOffset>
            </wp:positionV>
            <wp:extent cx="3208020" cy="17272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17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</w:rPr>
        <w:t xml:space="preserve">Jednorazowe opłaty pobierane przed lub po dokonaniu inwestycji</w:t>
      </w:r>
    </w:p>
    <w:p>
      <w:pPr>
        <w:spacing w:after="0" w:line="5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Wejściowa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 xml:space="preserve">Brak*</w:t>
            </w:r>
          </w:p>
        </w:tc>
      </w:tr>
      <w:tr>
        <w:trPr>
          <w:trHeight w:val="41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243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za wyjście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 xml:space="preserve">Brak*</w:t>
            </w:r>
          </w:p>
        </w:tc>
      </w:tr>
      <w:tr>
        <w:trPr>
          <w:trHeight w:val="41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-201930</wp:posOffset>
            </wp:positionV>
            <wp:extent cx="2245995" cy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-394335</wp:posOffset>
            </wp:positionV>
            <wp:extent cx="3199130" cy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 w:right="240"/>
        <w:spacing w:after="0" w:line="34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Jest to maksymalna kwota, która może zostać pobrana z Twoich pieniędzy przed dokonaniem inwestycji lub przed wypłaceniem wpływów z Twoich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-17145</wp:posOffset>
            </wp:positionV>
            <wp:extent cx="3208020" cy="18351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</w:rPr>
        <w:t xml:space="preserve">Opłaty pobierane z klasy akcji w ciągu każdego roku</w:t>
      </w:r>
    </w:p>
    <w:p>
      <w:pPr>
        <w:spacing w:after="0" w:line="7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4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Opłaty Bieżące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0.19%**</w:t>
            </w:r>
          </w:p>
        </w:tc>
      </w:tr>
      <w:tr>
        <w:trPr>
          <w:trHeight w:val="24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64"/>
        </w:trPr>
        <w:tc>
          <w:tcPr>
            <w:tcW w:w="4240" w:type="dxa"/>
            <w:vAlign w:val="bottom"/>
            <w:tcBorders>
              <w:bottom w:val="single" w:sz="8" w:color="auto"/>
            </w:tcBorders>
            <w:gridSpan w:val="2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  <w:w w:val="96"/>
              </w:rPr>
              <w:t xml:space="preserve">Opłaty pobrane z klasy akcji pod pewnymi warunkami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2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za wydajność</w:t>
            </w: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Brak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-358775</wp:posOffset>
            </wp:positionV>
            <wp:extent cx="3199130" cy="952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-165735</wp:posOffset>
            </wp:positionV>
            <wp:extent cx="3199130" cy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-522605</wp:posOffset>
            </wp:positionV>
            <wp:extent cx="3199130" cy="952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5340" w:space="260"/>
            <w:col w:w="5060"/>
          </w:cols>
          <w:pgMar w:left="620" w:top="609" w:right="626" w:bottom="0" w:gutter="0" w:footer="0" w:header="0"/>
          <w:type w:val="continuous"/>
        </w:sect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color w:val="auto"/>
        </w:rPr>
        <w:t xml:space="preserve">Dotychczasowa wydajność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52070</wp:posOffset>
            </wp:positionV>
            <wp:extent cx="6767830" cy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60"/>
          </w:cols>
          <w:pgMar w:left="620" w:top="609" w:right="626" w:bottom="0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74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Dotychczasowa wydajność nie jest wskazówką dla przyszłej wydajności.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3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Wykres pokazuje roczną wydajność klasy akcji w USD dla każdego pełnego roku kalendarzowego w okresie wyświetlanym na wykresie.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Jest ona wyrażona jako procentowa zmiana wartości aktywów netto klasy akcji na koniec każdego roku.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Fundusz został uruchomiony w 2017 r.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 2017 r. uruchomiono klasę Share.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Wyniki są wykazywane po odjęciu bieżących opłat.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Wszelkie opłaty za wjazd/wyjazd są wyłączone z obliczeń.</w:t>
      </w:r>
    </w:p>
    <w:p>
      <w:pPr>
        <w:spacing w:after="0" w:line="6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320" w:firstLine="8"/>
        <w:spacing w:after="0" w:line="328" w:lineRule="auto"/>
        <w:tabs>
          <w:tab w:leader="none" w:pos="120" w:val="left"/>
        </w:tabs>
        <w:numPr>
          <w:ilvl w:val="0"/>
          <w:numId w:val="5"/>
        </w:numPr>
        <w:rPr>
          <w:rFonts w:ascii="Arial" w:cs="Arial" w:eastAsia="Arial" w:hAnsi="Arial"/>
          <w:sz w:val="16"/>
          <w:szCs w:val="16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Poziom referencyjny: Bloomberg Commodity(SM) (Total Return Index) (USD)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Historyczny performans do 31 grudnia 2023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487680</wp:posOffset>
            </wp:positionH>
            <wp:positionV relativeFrom="paragraph">
              <wp:posOffset>20955</wp:posOffset>
            </wp:positionV>
            <wp:extent cx="3977640" cy="155448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8"/>
        </w:trPr>
        <w:tc>
          <w:tcPr>
            <w:tcW w:w="1260" w:type="dxa"/>
            <w:vAlign w:val="bottom"/>
            <w:tcBorders>
              <w:bottom w:val="single" w:sz="8" w:color="808080"/>
              <w:right w:val="single" w:sz="8" w:color="808080"/>
            </w:tcBorders>
            <w:gridSpan w:val="2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2014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2015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2016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2017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2018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2019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2020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2021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2022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</w:tcBorders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140" w:type="dxa"/>
            <w:vAlign w:val="bottom"/>
            <w:shd w:val="clear" w:color="auto" w:fill="FF4713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Fundusz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- 11,6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7,6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- 3,1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26,8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15,1</w:t>
            </w:r>
          </w:p>
        </w:tc>
        <w:tc>
          <w:tcPr>
            <w:tcW w:w="5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- 8,4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† wskaźnika referencyjnego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- 11,2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7,7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- 3,1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27,1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16,1</w:t>
            </w:r>
          </w:p>
        </w:tc>
        <w:tc>
          <w:tcPr>
            <w:tcW w:w="5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- 7,9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40" w:type="dxa"/>
            <w:vAlign w:val="bottom"/>
            <w:shd w:val="clear" w:color="auto" w:fill="FFCE0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320" w:space="280"/>
            <w:col w:w="7060"/>
          </w:cols>
          <w:pgMar w:left="620" w:top="609" w:right="626" w:bottom="0" w:gutter="0" w:footer="0" w:header="0"/>
          <w:type w:val="continuous"/>
        </w:sect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Informacje praktyczne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22860</wp:posOffset>
            </wp:positionV>
            <wp:extent cx="6767830" cy="952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Depozytariuszem funduszu jest State Street Custodial Services (Ireland) Limited.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-66040</wp:posOffset>
            </wp:positionV>
            <wp:extent cx="45720" cy="7747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right="160"/>
        <w:spacing w:after="0" w:line="3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Więcej informacji na temat Funduszu i klasy akcji można uzyskać z najnowszego raportu rocznego i półrocznych raportów iShares VI plc.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Dokumenty te są dostępne bezpłatnie w języku angielskim i niektórych innych językach.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Można je znaleźć, wraz z innymi informacjami, takimi jak szczegóły dotyczące kluczowych inwestycji bazowych klasy akcji i cen akcji, na stronie internetowej iShares pod adresem www.ishares.com lub pod numerem telefonu +44 (0)845 357 7000 lub od brokera lub doradcy finansowego.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Inwestorzy powinni mieć na uwadze, że przepisy podatkowe mające zastosowanie do funduszu i klasy akcji mogą mieć wpływ na indywidualną sytuację podatkową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-537210</wp:posOffset>
            </wp:positionV>
            <wp:extent cx="45720" cy="7747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-95250</wp:posOffset>
            </wp:positionV>
            <wp:extent cx="45720" cy="7747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jest subfunduszem iShares VI plc, struktury parasolowej obejmującej różne subfundusze.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Fundusz posiada jedną lub więcej klas akcji.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Niniejszy dokument dotyczy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-51435</wp:posOffset>
            </wp:positionV>
            <wp:extent cx="45720" cy="7747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fundusz i klasa akcji podane na początku niniejszego dokumentu.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Jednakże prospekt emisyjny, sprawozdania roczne i półroczne są przygotowywane dla parasola.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iShares VI plc może zostać pociągnięta do odpowiedzialności wyłącznie na podstawie jakiegokolwiek oświadczenia zawartego w tym dokumencie, które wprowadza w błąd, jest niedokładne lub niezgodne z odpowiednimi częściami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-51435</wp:posOffset>
            </wp:positionV>
            <wp:extent cx="45720" cy="7747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prospektu emisyjnego Funduszu.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Orientacyjna śróddzienna wartość aktywów netto klasy akcji jest publikowana na odpowiednich stronach internetowych giełd.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-66040</wp:posOffset>
            </wp:positionV>
            <wp:extent cx="45720" cy="7747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right="80"/>
        <w:spacing w:after="0" w:line="32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Zgodnie z prawem irlandzkim iShares VI plc dokonało podziału odpowiedzialności pomiędzy subfundusze (tj. aktywa Funduszu nie będą wykorzystywane do wywiązywania się z zobowiązań innych subfunduszy w ramach iShares VI plc).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Ponadto aktywa Funduszu utrzymywane są odrębnie od aktywów innych subfunduszy.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Aktywa i zobowiązania specyficzne dla danej klasy akcji można by przypisać tylko do tej klasy akcji, jednak zgodnie z prawem irlandzkim nie ma rozdzielenia zobowiązań między kategorie akcji.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-389890</wp:posOffset>
            </wp:positionV>
            <wp:extent cx="45720" cy="7747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380"/>
        <w:spacing w:after="0" w:line="32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Zamiana akcji pomiędzy Funduszem a innymi subfunduszami w ramach iShares VI plc nie jest dostępna dla inwestorów.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Tylko upoważnieni uczestnicy mający bezpośredni kontakt z Funduszem mogą przechodzić z jednej klasy akcji Funduszu do drugiej, pod warunkiem spełnienia określonych warunków zawartych w prospekcie emisyjnym Funduszu.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100"/>
        <w:spacing w:after="0" w:line="36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Polityka wynagradzania Spółki, która opisuje sposób ustalania i przyznawania wynagrodzeń i świadczeń oraz związane z tym ustalenia dotyczące ładu korporacyjnego, dostępna jest na stronie internetowej www.blackrock.com/Remunerationpolicy lub na wniosek siedziby Spółki.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5673090</wp:posOffset>
            </wp:positionH>
            <wp:positionV relativeFrom="paragraph">
              <wp:posOffset>1846580</wp:posOffset>
            </wp:positionV>
            <wp:extent cx="1097280" cy="45720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-283210</wp:posOffset>
            </wp:positionV>
            <wp:extent cx="45720" cy="7747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740"/>
        <w:spacing w:after="0" w:line="3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ten oraz zarządzający nim BlackRock Asset Management Ireland Limited posiadają zezwolenie w Irlandii i są regulowane przez Central Bank of Ireland.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Niniejsze Kluczowe Informacje dla Inwestorów są aktualne na dzień 29 stycznia 2024 roku</w:t>
      </w:r>
    </w:p>
    <w:sectPr>
      <w:pgSz w:w="11900" w:h="16838" w:orient="portrait"/>
      <w:cols w:equalWidth="0" w:num="1">
        <w:col w:w="10660"/>
      </w:cols>
      <w:pgMar w:left="620" w:top="609" w:right="626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44048C8"/>
    <w:multiLevelType w:val="hybridMultilevel"/>
    <w:lvl w:ilvl="0">
      <w:lvlJc w:val="left"/>
      <w:lvlText w:val="-"/>
      <w:numFmt w:val="bullet"/>
      <w:start w:val="1"/>
    </w:lvl>
  </w:abstractNum>
  <w:abstractNum w:abstractNumId="1">
    <w:nsid w:val="62876CB9"/>
    <w:multiLevelType w:val="hybridMultilevel"/>
    <w:lvl w:ilvl="0">
      <w:lvlJc w:val="left"/>
      <w:lvlText w:val="-"/>
      <w:numFmt w:val="bullet"/>
      <w:start w:val="1"/>
    </w:lvl>
  </w:abstractNum>
  <w:abstractNum w:abstractNumId="2">
    <w:nsid w:val="59B0E3F"/>
    <w:multiLevelType w:val="hybridMultilevel"/>
    <w:lvl w:ilvl="0">
      <w:lvlJc w:val="left"/>
      <w:lvlText w:val="-"/>
      <w:numFmt w:val="bullet"/>
      <w:start w:val="1"/>
    </w:lvl>
  </w:abstractNum>
  <w:abstractNum w:abstractNumId="3">
    <w:nsid w:val="4D55F0FB"/>
    <w:multiLevelType w:val="hybridMultilevel"/>
    <w:lvl w:ilvl="0">
      <w:lvlJc w:val="left"/>
      <w:lvlText w:val="**"/>
      <w:numFmt w:val="bullet"/>
      <w:start w:val="1"/>
    </w:lvl>
  </w:abstractNum>
  <w:abstractNum w:abstractNumId="4">
    <w:nsid w:val="21B7F30"/>
    <w:multiLevelType w:val="hybridMultilevel"/>
    <w:lvl w:ilvl="0">
      <w:lvlJc w:val="left"/>
      <w:lvlText w:val="†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jpe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33" Type="http://schemas.openxmlformats.org/officeDocument/2006/relationships/image" Target="media/image22.png"/><Relationship Id="rId34" Type="http://schemas.openxmlformats.org/officeDocument/2006/relationships/image" Target="media/image23.png"/><Relationship Id="rId35" Type="http://schemas.openxmlformats.org/officeDocument/2006/relationships/image" Target="media/image24.png"/><Relationship Id="rId36" Type="http://schemas.openxmlformats.org/officeDocument/2006/relationships/image" Target="media/image25.png"/><Relationship Id="rId37" Type="http://schemas.openxmlformats.org/officeDocument/2006/relationships/image" Target="media/image26.png"/><Relationship Id="rId38" Type="http://schemas.openxmlformats.org/officeDocument/2006/relationships/image" Target="media/image27.png"/><Relationship Id="rId39" Type="http://schemas.openxmlformats.org/officeDocument/2006/relationships/image" Target="media/image28.png"/><Relationship Id="rId40" Type="http://schemas.openxmlformats.org/officeDocument/2006/relationships/image" Target="media/image29.png"/><Relationship Id="rId41" Type="http://schemas.openxmlformats.org/officeDocument/2006/relationships/image" Target="media/image30.jpeg"/><Relationship Id="rId42" Type="http://schemas.openxmlformats.org/officeDocument/2006/relationships/image" Target="media/image31.png"/><Relationship Id="rId43" Type="http://schemas.openxmlformats.org/officeDocument/2006/relationships/image" Target="media/image32.png"/><Relationship Id="rId44" Type="http://schemas.openxmlformats.org/officeDocument/2006/relationships/image" Target="media/image33.png"/><Relationship Id="rId45" Type="http://schemas.openxmlformats.org/officeDocument/2006/relationships/image" Target="media/image34.png"/><Relationship Id="rId46" Type="http://schemas.openxmlformats.org/officeDocument/2006/relationships/image" Target="media/image35.png"/><Relationship Id="rId47" Type="http://schemas.openxmlformats.org/officeDocument/2006/relationships/image" Target="media/image36.png"/><Relationship Id="rId48" Type="http://schemas.openxmlformats.org/officeDocument/2006/relationships/image" Target="media/image37.png"/><Relationship Id="rId49" Type="http://schemas.openxmlformats.org/officeDocument/2006/relationships/image" Target="media/image38.png"/><Relationship Id="rId50" Type="http://schemas.openxmlformats.org/officeDocument/2006/relationships/image" Target="media/image39.png"/><Relationship Id="rId51" Type="http://schemas.openxmlformats.org/officeDocument/2006/relationships/image" Target="media/image40.jpeg"/><Relationship Id="rId52" Type="http://schemas.openxmlformats.org/officeDocument/2006/relationships/image" Target="media/image4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2024-05-21T09:55:24Z</dcterms:created>
  <dcterms:modified xsi:type="dcterms:W3CDTF">2024-05-21T09:55:24Z</dcterms:modified>
</cp:coreProperties>
</file>