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KLUCZOWE INFORMACJE DLA INWESTORÓW</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Niniejszy dokument zawiera kluczowe informacje dla inwestorów na temat tego Funduszu.</w:t>
      </w:r>
      <w:r>
        <w:rPr xmlns:w="http://schemas.openxmlformats.org/wordprocessingml/2006/main">
          <w:rFonts w:ascii="Arial" w:cs="Arial" w:eastAsia="Arial" w:hAnsi="Arial"/>
          <w:sz w:val="15"/>
          <w:szCs w:val="15"/>
          <w:color w:val="auto"/>
        </w:rPr>
        <w:t xml:space="preserve"> Nie jest to materiał marketingowy.</w:t>
      </w:r>
      <w:r>
        <w:rPr xmlns:w="http://schemas.openxmlformats.org/wordprocessingml/2006/main">
          <w:rFonts w:ascii="Arial" w:cs="Arial" w:eastAsia="Arial" w:hAnsi="Arial"/>
          <w:sz w:val="15"/>
          <w:szCs w:val="15"/>
          <w:color w:val="auto"/>
        </w:rPr>
        <w:t xml:space="preserve"> Informacje te są wymagane przez prawo, aby pomóc Ci zrozumieć charakter i ryzyko inwestowania w ten Fundusz.</w:t>
      </w:r>
      <w:r>
        <w:rPr xmlns:w="http://schemas.openxmlformats.org/wordprocessingml/2006/main">
          <w:rFonts w:ascii="Arial" w:cs="Arial" w:eastAsia="Arial" w:hAnsi="Arial"/>
          <w:sz w:val="15"/>
          <w:szCs w:val="15"/>
          <w:color w:val="auto"/>
        </w:rPr>
        <w:t xml:space="preserve"> Zachęcamy do zapoznania się z nią, aby móc podjąć świadomą decyzję o ewentualnej inwestycji.</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508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5"/>
              </w:rPr>
              <w:t xml:space="preserve">iShares Healthcare Innovation UCITS</w:t>
            </w:r>
          </w:p>
        </w:tc>
        <w:tc>
          <w:tcPr>
            <w:tcW w:w="2320" w:type="dxa"/>
            <w:vAlign w:val="bottom"/>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22"/>
                <w:szCs w:val="22"/>
                <w:color w:val="auto"/>
                <w:w w:val="88"/>
              </w:rPr>
              <w:t xml:space="preserve">Klasa akcji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Fundusz typu ETF (ang. Exchange Traded Fund)</w:t>
            </w:r>
          </w:p>
        </w:tc>
        <w:tc>
          <w:tcPr>
            <w:tcW w:w="0" w:type="dxa"/>
            <w:vAlign w:val="bottom"/>
          </w:tcPr>
          <w:p>
            <w:pPr>
              <w:spacing w:after="0"/>
              <w:rPr>
                <w:sz w:val="1"/>
                <w:szCs w:val="1"/>
                <w:color w:val="auto"/>
              </w:rPr>
            </w:pPr>
          </w:p>
        </w:tc>
      </w:tr>
      <w:tr>
        <w:trPr>
          <w:trHeight w:val="242"/>
        </w:trPr>
        <w:tc>
          <w:tcPr>
            <w:tcW w:w="508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Subfundusz iShares IV plc</w:t>
            </w:r>
          </w:p>
        </w:tc>
        <w:tc>
          <w:tcPr>
            <w:tcW w:w="2320" w:type="dxa"/>
            <w:vAlign w:val="bottom"/>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8"/>
                <w:szCs w:val="18"/>
                <w:color w:val="auto"/>
              </w:rPr>
              <w:t xml:space="preserve">ISIN: IE00BYZK4776</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5080" w:type="dxa"/>
            <w:vAlign w:val="bottom"/>
            <w:vMerge w:val="continue"/>
          </w:tcPr>
          <w:p>
            <w:pPr>
              <w:spacing w:after="0"/>
              <w:rPr>
                <w:sz w:val="9"/>
                <w:szCs w:val="9"/>
                <w:color w:val="auto"/>
              </w:rPr>
            </w:pPr>
          </w:p>
        </w:tc>
        <w:tc>
          <w:tcPr>
            <w:tcW w:w="232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Menedżer: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Cele i polityka inwestycyjna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Klasa akcji to klasa akcji Funduszu, której celem jest uzyskanie zwrotu z inwestycji poprzez połączenie wzrostu kapitału i dochodu z aktywów Funduszu, co odzwierciedla zwrot ze światowego indeksu STOXX Breakthrough Healthcare Index, wskaźnika referencyjnego Funduszu (Index).</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Klasa Akcji, za pośrednictwem Funduszu, jest zarządzana pasywnie i ma na celu inwestowanie w udziałowe papiery wartościowe (np. akcje), które w miarę możliwości i możliwości tworzą Indeks.</w:t>
      </w:r>
    </w:p>
    <w:p>
      <w:pPr>
        <w:spacing w:after="0" w:line="71"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Indeks odzwierciedla wyniki podzbioru globalnych udziałowych papierów wartościowych w ramach indeksu STOXX Global Market Index ("Indeks Dominujący"), które czerpią znaczne przychody z innowacji w ochronie zdrowia.</w:t>
      </w:r>
      <w:r>
        <w:rPr xmlns:w="http://schemas.openxmlformats.org/wordprocessingml/2006/main">
          <w:rFonts w:ascii="Arial" w:cs="Arial" w:eastAsia="Arial" w:hAnsi="Arial"/>
          <w:sz w:val="16"/>
          <w:szCs w:val="16"/>
          <w:color w:val="auto"/>
        </w:rPr>
        <w:t xml:space="preserve"> Przedsiębiorstwa uwzględnione w Indeksie muszą generować co najmniej 50% (45% dla istniejących spółek uwzględnionych w Indeksie) rocznych przychodów z sektorów związanych z tematem innowacji w ochronie zdrowia, takich jak leki generyczne, immunoterapia (np. leczenie komórkami macierzystymi) i informatyka w ochronie zdrowia.</w:t>
      </w:r>
      <w:r>
        <w:rPr xmlns:w="http://schemas.openxmlformats.org/wordprocessingml/2006/main">
          <w:rFonts w:ascii="Arial" w:cs="Arial" w:eastAsia="Arial" w:hAnsi="Arial"/>
          <w:sz w:val="16"/>
          <w:szCs w:val="16"/>
          <w:color w:val="auto"/>
        </w:rPr>
        <w:t xml:space="preserve"> Ponadto Indeks ma na celu zapewnienie minimalnej liczby 80 składników przy każdym ponownym bilansowaniu Indeksu, jednak jeżeli w wyniku zastosowania filtru przychodów w Indeksie będzie mniej niż 80 składników, to jest on stopniowo obniżany zgodnie z metodologią podmiotu opracowującego indeks, aż liczba składników będzie równa lub większa niż 80.</w:t>
      </w:r>
      <w:r>
        <w:rPr xmlns:w="http://schemas.openxmlformats.org/wordprocessingml/2006/main">
          <w:rFonts w:ascii="Arial" w:cs="Arial" w:eastAsia="Arial" w:hAnsi="Arial"/>
          <w:sz w:val="16"/>
          <w:szCs w:val="16"/>
          <w:color w:val="auto"/>
        </w:rPr>
        <w:t xml:space="preserve"> Spółki należące do Indeksu muszą również spełniać kryteria podmiotu tworzącego indeks w zakresie kapitalizacji rynkowej i wolumenu obrotów oraz posiadać siedzibę w kraju kwalifikującym się, który również jest określany przez podmiot tworzący indeks.</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Z Indeksu zostały wyłączone spółki, które zostały zidentyfikowane przez podmiot tworzący indeks jako zaangażowane w określone linie biznesowe/działania, zgodnie z opisem Indeksu Funduszu w Prospekcie Emisyjnym Funduszu.</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Inwestycja Funduszu w papiery wartościowe wchodzące w skład Indeksu w momencie zakupu będzie zgodna z wymogami kredytowymi lub ESG Indeksu.</w:t>
      </w:r>
      <w:r>
        <w:rPr xmlns:w="http://schemas.openxmlformats.org/wordprocessingml/2006/main">
          <w:rFonts w:ascii="Arial" w:cs="Arial" w:eastAsia="Arial" w:hAnsi="Arial"/>
          <w:sz w:val="16"/>
          <w:szCs w:val="16"/>
          <w:color w:val="auto"/>
        </w:rPr>
        <w:t xml:space="preserve"> W przypadku gdy papiery wartościowe przestały spełniać takie wymogi, Fundusz może je utrzymywać do momentu, gdy przestaną one stanowić część Indeksu, oraz do momentu, gdy jest to wykonalne ze względów praktycznych, aby je sprzedać.</w:t>
      </w:r>
    </w:p>
    <w:p>
      <w:pPr>
        <w:spacing w:after="0" w:line="28" w:lineRule="exact"/>
        <w:rPr>
          <w:sz w:val="24"/>
          <w:szCs w:val="24"/>
          <w:color w:val="auto"/>
        </w:rPr>
      </w:pPr>
    </w:p>
    <w:p>
      <w:pPr xmlns:w="http://schemas.openxmlformats.org/wordprocessingml/2006/main">
        <w:ind w:left="140" w:right="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Fundusz będzie uwzględniał te kryteria ESG wyłącznie przy wyborze papierów wartościowych, które będą bezpośrednio w posiadaniu Funduszu.</w:t>
      </w:r>
      <w:r>
        <w:rPr xmlns:w="http://schemas.openxmlformats.org/wordprocessingml/2006/main">
          <w:rFonts w:ascii="Arial" w:cs="Arial" w:eastAsia="Arial" w:hAnsi="Arial"/>
          <w:sz w:val="16"/>
          <w:szCs w:val="16"/>
          <w:color w:val="auto"/>
        </w:rPr>
        <w:t xml:space="preserve"> Fundusz może uzyskać pośrednie zaangażowanie (np. poprzez finansowe instrumenty pochodne ("BIZ") (tj. inwestycje, których ceny oparte są na jednym lub kilku aktywach bazowych) oraz jednostki uczestnictwa w programach zbiorowego inwestowania) w papiery wartościowe uznane za niespełniające tych kryteriów ESG.</w:t>
      </w:r>
      <w:r>
        <w:rPr xmlns:w="http://schemas.openxmlformats.org/wordprocessingml/2006/main">
          <w:rFonts w:ascii="Arial" w:cs="Arial" w:eastAsia="Arial" w:hAnsi="Arial"/>
          <w:sz w:val="16"/>
          <w:szCs w:val="16"/>
          <w:color w:val="auto"/>
        </w:rPr>
        <w:t xml:space="preserve"> Indeks może zawierać małe, średnie i/lub duże kapitalizacyjne składniki Indeksu Dominującego zarówno z krajów rozwiniętych, jak i z rynków wschodzących na całym świecie.</w:t>
      </w:r>
      <w:r>
        <w:rPr xmlns:w="http://schemas.openxmlformats.org/wordprocessingml/2006/main">
          <w:rFonts w:ascii="Arial" w:cs="Arial" w:eastAsia="Arial" w:hAnsi="Arial"/>
          <w:sz w:val="16"/>
          <w:szCs w:val="16"/>
          <w:color w:val="auto"/>
        </w:rPr>
        <w:t xml:space="preserve"> Każdy ze składników Indeksu jest korygowany w równym stopniu przy każdej zmianie wagi Indeksu.</w:t>
      </w:r>
    </w:p>
    <w:p>
      <w:pPr>
        <w:spacing w:after="0" w:line="28" w:lineRule="exact"/>
        <w:rPr>
          <w:sz w:val="24"/>
          <w:szCs w:val="24"/>
          <w:color w:val="auto"/>
        </w:rPr>
      </w:pPr>
    </w:p>
    <w:p>
      <w:pPr xmlns:w="http://schemas.openxmlformats.org/wordprocessingml/2006/main">
        <w:ind w:left="140" w:right="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Fundusz stosuje techniki optymalizacyjne, aby osiągnąć podobny zwrot ze swojego Indeksu.</w:t>
      </w:r>
      <w:r>
        <w:rPr xmlns:w="http://schemas.openxmlformats.org/wordprocessingml/2006/main">
          <w:rFonts w:ascii="Arial" w:cs="Arial" w:eastAsia="Arial" w:hAnsi="Arial"/>
          <w:sz w:val="16"/>
          <w:szCs w:val="16"/>
          <w:color w:val="auto"/>
        </w:rPr>
        <w:t xml:space="preserve"> Techniki te mogą obejmować strategiczny wybór niektórych papierów wartościowych wchodzących w skład Indeksu lub innych papierów wartościowych o podobnej charakterystyce jak niektóre składowe papiery wartościowe.</w:t>
      </w:r>
      <w:r>
        <w:rPr xmlns:w="http://schemas.openxmlformats.org/wordprocessingml/2006/main">
          <w:rFonts w:ascii="Arial" w:cs="Arial" w:eastAsia="Arial" w:hAnsi="Arial"/>
          <w:sz w:val="16"/>
          <w:szCs w:val="16"/>
          <w:color w:val="auto"/>
        </w:rPr>
        <w:t xml:space="preserve"> Mogą one również obejmować wykorzystanie BIZ, które mogą być wykorzystywane do celów inwestycji bezpośrednich.</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Zalecenie: Fundusz ten jest odpowiedni dla inwestycji średnio- i długoterminowych, chociaż może być również odpowiedni dla krótkoterminowego zaangażowania w indeks.</w:t>
      </w:r>
    </w:p>
    <w:p>
      <w:pPr>
        <w:spacing w:after="0" w:line="59"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Twoje akcje będą akumulowanymi udziałami (tzn. dochód zostanie uwzględniony w ich wartości).</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Twoje akcje będą denominowane w dolarach amerykańskich, walucie bazowej Funduszu.</w:t>
      </w:r>
    </w:p>
    <w:p>
      <w:pPr>
        <w:spacing w:after="0" w:line="4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Akcje są notowane na jednej lub kilku giełdach i mogą być przedmiotem obrotu w walutach innych niż ich waluta bazowa.</w:t>
      </w:r>
      <w:r>
        <w:rPr xmlns:w="http://schemas.openxmlformats.org/wordprocessingml/2006/main">
          <w:rFonts w:ascii="Arial" w:cs="Arial" w:eastAsia="Arial" w:hAnsi="Arial"/>
          <w:sz w:val="16"/>
          <w:szCs w:val="16"/>
          <w:color w:val="auto"/>
        </w:rPr>
        <w:t xml:space="preserve"> Różnica kursów walut może mieć wpływ na wydajność Twoich akcji.</w:t>
      </w:r>
      <w:r>
        <w:rPr xmlns:w="http://schemas.openxmlformats.org/wordprocessingml/2006/main">
          <w:rFonts w:ascii="Arial" w:cs="Arial" w:eastAsia="Arial" w:hAnsi="Arial"/>
          <w:sz w:val="16"/>
          <w:szCs w:val="16"/>
          <w:color w:val="auto"/>
        </w:rPr>
        <w:t xml:space="preserve"> W normalnych okolicznościach wyłącznie uprawnieni uczestnicy (np. wybrane instytucje finansowe) mogą dokonywać transakcji na akcjach (lub udziałach w akcjach) bezpośrednio z Funduszem.</w:t>
      </w:r>
      <w:r>
        <w:rPr xmlns:w="http://schemas.openxmlformats.org/wordprocessingml/2006/main">
          <w:rFonts w:ascii="Arial" w:cs="Arial" w:eastAsia="Arial" w:hAnsi="Arial"/>
          <w:sz w:val="16"/>
          <w:szCs w:val="16"/>
          <w:color w:val="auto"/>
        </w:rPr>
        <w:t xml:space="preserve"> Inni inwestorzy mogą dokonywać codziennych transakcji na akcjach (lub udziałach w akcjach) poprzez pośrednika na giełdzie (giełdach), na której akcje są przedmiotem obrotu.</w:t>
      </w:r>
      <w:r>
        <w:rPr xmlns:w="http://schemas.openxmlformats.org/wordprocessingml/2006/main">
          <w:rFonts w:ascii="Arial" w:cs="Arial" w:eastAsia="Arial" w:hAnsi="Arial"/>
          <w:sz w:val="16"/>
          <w:szCs w:val="16"/>
          <w:color w:val="auto"/>
        </w:rPr>
        <w:t xml:space="preserve"> Orientacyjna wartość aktywów netto publikowana jest na odpowiednich stronach internetowych giełd.</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Więcej informacji na temat Funduszu, klasy akcji, ryzyka i opłat można znaleźć w prospekcie emisyjnym Funduszu dostępnym na stronach dotyczących produktów pod adresem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Profil ryzyka i zysku</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Niższe ryzyko</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Wyższe ryzyko</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Zazwyczaj niższe nagrody</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Zwykle wyższe nagrody</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Wskaźnik ten opiera się na danych historycznych i może nie być wiarygodnym wskaźnikiem przyszłego profilu ryzyka tej klasy akcji.</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Podana kategoria ryzyka nie jest gwarantowana i może się zmieniać w czasie.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Najniższa kategoria nie oznacza braku ryzyka.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Klasa akcji jest oceniana na sześć ze względu na charakter inwestycji, które obejmują ryzyka wymienione poniżej.</w:t>
      </w:r>
      <w:r>
        <w:rPr xmlns:w="http://schemas.openxmlformats.org/wordprocessingml/2006/main">
          <w:rFonts w:ascii="Arial" w:cs="Arial" w:eastAsia="Arial" w:hAnsi="Arial"/>
          <w:sz w:val="16"/>
          <w:szCs w:val="16"/>
          <w:color w:val="auto"/>
        </w:rPr>
        <w:t xml:space="preserve"> Czynniki te mogą mieć wpływ na wartość klasy akcji lub narażać klasę akcji na straty.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-391160</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240" w:hanging="153"/>
        <w:spacing w:after="0" w:line="182" w:lineRule="auto"/>
        <w:tabs>
          <w:tab w:leader="none" w:pos="300" w:val="left"/>
        </w:tabs>
        <w:numPr>
          <w:ilvl w:val="0"/>
          <w:numId w:val="1"/>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Udziały w mniejszych spółkach zazwyczaj obracają mniejszą ilością i doświadczają większych wahań cen niż większe spółki.</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40" w:hanging="159"/>
        <w:spacing w:after="0" w:line="250"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Rynki wschodzące są na ogół bardziej wrażliwe na warunki gospodarcze i polityczne niż rynki rozwinięte.</w:t>
      </w:r>
      <w:r>
        <w:rPr xmlns:w="http://schemas.openxmlformats.org/wordprocessingml/2006/main">
          <w:rFonts w:ascii="Arial" w:cs="Arial" w:eastAsia="Arial" w:hAnsi="Arial"/>
          <w:sz w:val="14"/>
          <w:szCs w:val="14"/>
          <w:color w:val="auto"/>
        </w:rPr>
        <w:t xml:space="preserve"> Inne czynniki obejmują większe "ryzyko płynności", ograniczenia inwestycji lub transferu aktywów, nieudaną/opóźnioną dostawę papierów wartościowych lub płatności na rzecz funduszu oraz ryzyko związane ze zrównoważonym rozwojem.</w:t>
      </w:r>
    </w:p>
    <w:p>
      <w:pPr>
        <w:spacing w:after="0" w:line="29" w:lineRule="exact"/>
        <w:rPr>
          <w:rFonts w:ascii="Arial" w:cs="Arial" w:eastAsia="Arial" w:hAnsi="Arial"/>
          <w:sz w:val="33"/>
          <w:szCs w:val="33"/>
          <w:color w:val="auto"/>
          <w:vertAlign w:val="subscript"/>
        </w:rPr>
      </w:pPr>
    </w:p>
    <w:p>
      <w:pPr xmlns:w="http://schemas.openxmlformats.org/wordprocessingml/2006/main">
        <w:ind w:left="160" w:right="20" w:hanging="159"/>
        <w:spacing w:after="0" w:line="207"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Ryzyko inwestycyjne koncentruje się w określonych sektorach, krajach, walutach lub przedsiębiorstwach.</w:t>
      </w:r>
      <w:r>
        <w:rPr xmlns:w="http://schemas.openxmlformats.org/wordprocessingml/2006/main">
          <w:rFonts w:ascii="Arial" w:cs="Arial" w:eastAsia="Arial" w:hAnsi="Arial"/>
          <w:sz w:val="15"/>
          <w:szCs w:val="15"/>
          <w:color w:val="auto"/>
        </w:rPr>
        <w:t xml:space="preserve"> Oznacza to, że Fundusz jest bardziej wrażliwy na wszelkie lokalne wydarzenia gospodarcze, rynkowe, polityczne, związane ze zrównoważonym rozwojem lub regulacyjne.</w:t>
      </w:r>
    </w:p>
    <w:p>
      <w:pPr>
        <w:spacing w:after="0" w:line="1" w:lineRule="exact"/>
        <w:rPr>
          <w:rFonts w:ascii="Arial" w:cs="Arial" w:eastAsia="Arial" w:hAnsi="Arial"/>
          <w:sz w:val="37"/>
          <w:szCs w:val="37"/>
          <w:color w:val="auto"/>
          <w:vertAlign w:val="subscript"/>
        </w:rPr>
      </w:pPr>
    </w:p>
    <w:p>
      <w:pPr xmlns:w="http://schemas.openxmlformats.org/wordprocessingml/2006/main">
        <w:ind w:left="160" w:hanging="159"/>
        <w:spacing w:after="0" w:line="180" w:lineRule="auto"/>
        <w:tabs>
          <w:tab w:leader="none" w:pos="160" w:val="left"/>
        </w:tabs>
        <w:numPr>
          <w:ilvl w:val="0"/>
          <w:numId w:val="2"/>
        </w:numPr>
        <w:rPr>
          <w:rFonts w:ascii="Arial" w:cs="Arial" w:eastAsia="Arial" w:hAnsi="Arial"/>
          <w:sz w:val="27"/>
          <w:szCs w:val="27"/>
          <w:color w:val="auto"/>
          <w:vertAlign w:val="subscript"/>
        </w:rPr>
      </w:pPr>
      <w:r>
        <w:rPr xmlns:w="http://schemas.openxmlformats.org/wordprocessingml/2006/main">
          <w:rFonts w:ascii="Arial" w:cs="Arial" w:eastAsia="Arial" w:hAnsi="Arial"/>
          <w:sz w:val="13"/>
          <w:szCs w:val="13"/>
          <w:color w:val="auto"/>
        </w:rPr>
        <w:t xml:space="preserve">Wartość akcji i papierów wartościowych o charakterze udziałowym może być</w:t>
      </w:r>
    </w:p>
    <w:p>
      <w:pPr>
        <w:spacing w:after="0" w:line="56" w:lineRule="exact"/>
        <w:rPr>
          <w:sz w:val="24"/>
          <w:szCs w:val="24"/>
          <w:color w:val="auto"/>
        </w:rPr>
      </w:pPr>
    </w:p>
    <w:p>
      <w:pPr xmlns:w="http://schemas.openxmlformats.org/wordprocessingml/2006/main">
        <w:ind w:left="160"/>
        <w:spacing w:after="0" w:line="285" w:lineRule="auto"/>
        <w:rPr>
          <w:sz w:val="20"/>
          <w:szCs w:val="20"/>
          <w:color w:val="auto"/>
        </w:rPr>
      </w:pPr>
      <w:r>
        <w:rPr xmlns:w="http://schemas.openxmlformats.org/wordprocessingml/2006/main">
          <w:rFonts w:ascii="Arial" w:cs="Arial" w:eastAsia="Arial" w:hAnsi="Arial"/>
          <w:sz w:val="16"/>
          <w:szCs w:val="16"/>
          <w:color w:val="auto"/>
        </w:rPr>
        <w:t xml:space="preserve">zmiany na rynku akcji.</w:t>
      </w:r>
      <w:r>
        <w:rPr xmlns:w="http://schemas.openxmlformats.org/wordprocessingml/2006/main">
          <w:rFonts w:ascii="Arial" w:cs="Arial" w:eastAsia="Arial" w:hAnsi="Arial"/>
          <w:sz w:val="16"/>
          <w:szCs w:val="16"/>
          <w:color w:val="auto"/>
        </w:rPr>
        <w:t xml:space="preserve"> Wśród innych wpływowych czynników znajdują się wiadomości polityczne, gospodarcze, wyniki przedsiębiorstw i ważne wydarzenia korporacyjne.</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Poszczególne rodzaje ryzyka nieodpowiednio ujęte we wskaźniku ryzyka obejmują: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8"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Ryzyko kontrahenta: Niewypłacalność instytucji świadczących usługi, takie jak przechowywanie aktywów lub działających jako kontrahent instrumentów pochodnych lub innych instrumentów, może narazić klasę akcji na straty finansowe.</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40" w:hanging="159"/>
        <w:spacing w:after="0" w:line="182" w:lineRule="auto"/>
        <w:tabs>
          <w:tab w:leader="none" w:pos="160" w:val="left"/>
        </w:tabs>
        <w:numPr>
          <w:ilvl w:val="0"/>
          <w:numId w:val="3"/>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Ryzyko płynności: Niższa płynność oznacza, że nie ma wystarczającej liczby kupujących lub sprzedających, aby fundusz mógł łatwo sprzedawać lub kupować inwestycje.</w:t>
      </w:r>
    </w:p>
    <w:p>
      <w:pPr>
        <w:spacing w:after="0" w:line="200"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6"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Wskaźnik referencyjny stanowi własność intelektualną dostawcy indeksu.</w:t>
      </w:r>
      <w:r>
        <w:rPr xmlns:w="http://schemas.openxmlformats.org/wordprocessingml/2006/main">
          <w:rFonts w:ascii="Arial" w:cs="Arial" w:eastAsia="Arial" w:hAnsi="Arial"/>
          <w:sz w:val="12"/>
          <w:szCs w:val="12"/>
          <w:color w:val="auto"/>
        </w:rPr>
        <w:t xml:space="preserve"> Klasa udziału nie jest sponsorowana ani wspierana przez dostawcę indeksu.</w:t>
      </w:r>
      <w:r>
        <w:rPr xmlns:w="http://schemas.openxmlformats.org/wordprocessingml/2006/main">
          <w:rFonts w:ascii="Arial" w:cs="Arial" w:eastAsia="Arial" w:hAnsi="Arial"/>
          <w:sz w:val="12"/>
          <w:szCs w:val="12"/>
          <w:color w:val="auto"/>
        </w:rPr>
        <w:t xml:space="preserve"> Pełne wyłączenie odpowiedzialności znajduje się w prospekcie emisyjnym Funduszu.</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Opłaty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Opłaty te są przeznaczone na pokrycie kosztów prowadzenia Klasy Akcji, w tym kosztów jej marketingu i dystrybucji.</w:t>
      </w:r>
      <w:r>
        <w:rPr xmlns:w="http://schemas.openxmlformats.org/wordprocessingml/2006/main">
          <w:rFonts w:ascii="Arial" w:cs="Arial" w:eastAsia="Arial" w:hAnsi="Arial"/>
          <w:sz w:val="16"/>
          <w:szCs w:val="16"/>
          <w:color w:val="auto"/>
        </w:rPr>
        <w:t xml:space="preserve"> Opłaty te zmniejszają potencjalny wzrost Państwa inwestycji.</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 Nie dotyczy inwestorów rynku wtórnego.</w:t>
      </w:r>
      <w:r>
        <w:rPr xmlns:w="http://schemas.openxmlformats.org/wordprocessingml/2006/main">
          <w:rFonts w:ascii="Arial" w:cs="Arial" w:eastAsia="Arial" w:hAnsi="Arial"/>
          <w:sz w:val="16"/>
          <w:szCs w:val="16"/>
          <w:color w:val="auto"/>
        </w:rPr>
        <w:t xml:space="preserve"> Inwestorzy giełdowi będą ponosić opłaty pobierane przez swoich maklerów giełdowych.</w:t>
      </w:r>
      <w:r>
        <w:rPr xmlns:w="http://schemas.openxmlformats.org/wordprocessingml/2006/main">
          <w:rFonts w:ascii="Arial" w:cs="Arial" w:eastAsia="Arial" w:hAnsi="Arial"/>
          <w:sz w:val="16"/>
          <w:szCs w:val="16"/>
          <w:color w:val="auto"/>
        </w:rPr>
        <w:t xml:space="preserve"> Takie opłaty są publicznie dostępne na giełdach, na których akcje są notowane i znajdują się w obrocie, lub można je uzyskać od maklerów giełdowych.</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 Upoważnieni uczestnicy mający bezpośredni kontakt z Funduszem będą ponosić związane z tym koszty transakcyjne, w tym - w przypadku umorzeń - wszelkie mające zastosowanie podatki od zysków kapitałowych (CGT) i inne podatki od bazowych papierów wartościowych.</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Kwota opłat bieżących opiera się na stałej rocznej opłacie pobieranej od klasy akcji zgodnie z prospektem emisyjnym Funduszu.</w:t>
      </w:r>
      <w:r>
        <w:rPr xmlns:w="http://schemas.openxmlformats.org/wordprocessingml/2006/main">
          <w:rFonts w:ascii="Arial" w:cs="Arial" w:eastAsia="Arial" w:hAnsi="Arial"/>
          <w:sz w:val="15"/>
          <w:szCs w:val="15"/>
          <w:color w:val="auto"/>
        </w:rPr>
        <w:t xml:space="preserve"> Kwota ta nie obejmuje kosztów związanych z handlem portfelem, z wyjątkiem kosztów poniesionych na rzecz depozytariusza oraz wszelkich opłat za wejście/wyjście uiszczonych na rzecz bazowego systemu zbiorowego inwestowania (jeżeli takie istnieją).</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4"/>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W zakresie, w jakim Fundusz udziela pożyczek papierów wartościowych w celu obniżenia kosztów, Fundusz otrzyma 62.5 % związanych z tym przychodów, a pozostałe 37.5 % zostanie otrzymane przez BlackRock jako podmiot udzielający pożyczek papierów wartościowych.</w:t>
      </w:r>
      <w:r>
        <w:rPr xmlns:w="http://schemas.openxmlformats.org/wordprocessingml/2006/main">
          <w:rFonts w:ascii="Arial" w:cs="Arial" w:eastAsia="Arial" w:hAnsi="Arial"/>
          <w:sz w:val="15"/>
          <w:szCs w:val="15"/>
          <w:color w:val="auto"/>
        </w:rPr>
        <w:t xml:space="preserve"> Ponieważ podział przychodów z pożyczek papierów wartościowych nie zwiększa kosztów funkcjonowania Funduszu, nie jest on uwzględniany w bieżących opłatach.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Jednorazowe opłaty pobierane przed lub po dokonaniu inwestycji</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Opłata Wejściowa</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Brak*</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Opłata za wyjście</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Brak*</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Jest to maksymalna kwota, która może zostać pobrana z Twoich pieniędzy przed dokonaniem inwestycji lub przed wypłaceniem wpływów z Twoich inwestycji.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Opłaty pobierane z klasy akcji w ciągu każdego roku</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Opłaty Bieżące</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0.40%**</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Opłaty pobrane z klasy akcji pod pewnymi warunkami</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Opłata za wydajność</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Brak</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Dotychczasowa wydajność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6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Dotychczasowa wydajność nie jest wskazówką dla przyszłej wydajności.</w:t>
      </w:r>
    </w:p>
    <w:p>
      <w:pPr>
        <w:spacing w:after="0" w:line="1" w:lineRule="exact"/>
        <w:rPr>
          <w:sz w:val="20"/>
          <w:szCs w:val="20"/>
          <w:color w:val="auto"/>
        </w:rPr>
      </w:pPr>
    </w:p>
    <w:p>
      <w:pPr xmlns:w="http://schemas.openxmlformats.org/wordprocessingml/2006/main">
        <w:ind w:right="20"/>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Wykres pokazuje roczną wydajność klasy akcji w USD dla każdego pełnego roku kalendarzowego w okresie wyświetlanym na wykresie.</w:t>
      </w:r>
      <w:r>
        <w:rPr xmlns:w="http://schemas.openxmlformats.org/wordprocessingml/2006/main">
          <w:rFonts w:ascii="Arial" w:cs="Arial" w:eastAsia="Arial" w:hAnsi="Arial"/>
          <w:sz w:val="15"/>
          <w:szCs w:val="15"/>
          <w:color w:val="auto"/>
        </w:rPr>
        <w:t xml:space="preserve"> Jest ona wyrażona jako procentowa zmiana wartości aktywów netto klasy akcji na koniec każdego roku.</w:t>
      </w:r>
      <w:r>
        <w:rPr xmlns:w="http://schemas.openxmlformats.org/wordprocessingml/2006/main">
          <w:rFonts w:ascii="Arial" w:cs="Arial" w:eastAsia="Arial" w:hAnsi="Arial"/>
          <w:sz w:val="15"/>
          <w:szCs w:val="15"/>
          <w:color w:val="auto"/>
        </w:rPr>
        <w:t xml:space="preserve"> Fundusz został uruchomiony w 2016 r.</w:t>
      </w:r>
      <w:r>
        <w:rPr xmlns:w="http://schemas.openxmlformats.org/wordprocessingml/2006/main">
          <w:rFonts w:ascii="Arial" w:cs="Arial" w:eastAsia="Arial" w:hAnsi="Arial"/>
          <w:sz w:val="15"/>
          <w:szCs w:val="15"/>
          <w:color w:val="auto"/>
        </w:rPr>
        <w:t xml:space="preserve"> W 2016 r. uruchomiono klasę Share.</w:t>
      </w:r>
      <w:r>
        <w:rPr xmlns:w="http://schemas.openxmlformats.org/wordprocessingml/2006/main">
          <w:rFonts w:ascii="Arial" w:cs="Arial" w:eastAsia="Arial" w:hAnsi="Arial"/>
          <w:sz w:val="15"/>
          <w:szCs w:val="15"/>
          <w:color w:val="auto"/>
        </w:rPr>
        <w:t xml:space="preserve"> Wyniki są wykazywane po odjęciu bieżących opłat.</w:t>
      </w:r>
      <w:r>
        <w:rPr xmlns:w="http://schemas.openxmlformats.org/wordprocessingml/2006/main">
          <w:rFonts w:ascii="Arial" w:cs="Arial" w:eastAsia="Arial" w:hAnsi="Arial"/>
          <w:sz w:val="15"/>
          <w:szCs w:val="15"/>
          <w:color w:val="auto"/>
        </w:rPr>
        <w:t xml:space="preserve"> Wszelkie opłaty za wjazd/wyjazd są wyłączone z obliczeń.</w:t>
      </w:r>
    </w:p>
    <w:p>
      <w:pPr>
        <w:spacing w:after="0" w:line="66" w:lineRule="exact"/>
        <w:rPr>
          <w:sz w:val="20"/>
          <w:szCs w:val="20"/>
          <w:color w:val="auto"/>
        </w:rPr>
      </w:pPr>
    </w:p>
    <w:p>
      <w:pPr xmlns:w="http://schemas.openxmlformats.org/wordprocessingml/2006/main">
        <w:ind w:firstLine="8"/>
        <w:spacing w:after="0" w:line="328" w:lineRule="auto"/>
        <w:tabs>
          <w:tab w:leader="none" w:pos="120" w:val="left"/>
        </w:tabs>
        <w:numPr>
          <w:ilvl w:val="0"/>
          <w:numId w:val="5"/>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Wskaźnik referencyjny: STOXX Global Breakthrough Healthcare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Historyczny performans do 31 grudnia 2023 roku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Fundusz</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35,0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- 2,3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12,7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52,1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- 6,0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- 23,6</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2,1</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 wskaźnika referencyjnego</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35,4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- 2,1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12,8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52,2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- 5,7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- 23,3</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2,2</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40" w:space="26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Informacje praktyczne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Depozytariuszem funduszu jest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Więcej informacji na temat Funduszu oraz klasy akcji można uzyskać z ostatniego raportu rocznego oraz raportów półrocznych iShares IV plc.</w:t>
      </w:r>
      <w:r>
        <w:rPr xmlns:w="http://schemas.openxmlformats.org/wordprocessingml/2006/main">
          <w:rFonts w:ascii="Arial" w:cs="Arial" w:eastAsia="Arial" w:hAnsi="Arial"/>
          <w:sz w:val="14"/>
          <w:szCs w:val="14"/>
          <w:color w:val="auto"/>
        </w:rPr>
        <w:t xml:space="preserve"> Dokumenty te są dostępne bezpłatnie w języku angielskim i niektórych innych językach.</w:t>
      </w:r>
      <w:r>
        <w:rPr xmlns:w="http://schemas.openxmlformats.org/wordprocessingml/2006/main">
          <w:rFonts w:ascii="Arial" w:cs="Arial" w:eastAsia="Arial" w:hAnsi="Arial"/>
          <w:sz w:val="14"/>
          <w:szCs w:val="14"/>
          <w:color w:val="auto"/>
        </w:rPr>
        <w:t xml:space="preserve"> Można je znaleźć, wraz z innymi informacjami, takimi jak szczegóły dotyczące kluczowych inwestycji bazowych klasy akcji i cen akcji, na stronie internetowej iShares pod adresem www.ishares.com lub pod numerem telefonu +44 (0)845 357 7000 lub od brokera lub doradcy finansowego.</w:t>
      </w:r>
      <w:r>
        <w:rPr xmlns:w="http://schemas.openxmlformats.org/wordprocessingml/2006/main">
          <w:rFonts w:ascii="Arial" w:cs="Arial" w:eastAsia="Arial" w:hAnsi="Arial"/>
          <w:sz w:val="14"/>
          <w:szCs w:val="14"/>
          <w:color w:val="auto"/>
        </w:rPr>
        <w:t xml:space="preserve"> Inwestorzy powinni mieć na uwadze, że przepisy podatkowe mające zastosowanie do funduszu i klasy akcji mogą mieć wpływ na indywidualną sytuację podatkową inwestycji.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Fundusz jest subfunduszem iShares IV plc, struktury parasolowej obejmującej różne subfundusze.</w:t>
      </w:r>
      <w:r>
        <w:rPr xmlns:w="http://schemas.openxmlformats.org/wordprocessingml/2006/main">
          <w:rFonts w:ascii="Arial" w:cs="Arial" w:eastAsia="Arial" w:hAnsi="Arial"/>
          <w:sz w:val="14"/>
          <w:szCs w:val="14"/>
          <w:color w:val="auto"/>
        </w:rPr>
        <w:t xml:space="preserve"> Fundusz posiada jedną lub więcej klas akcji.</w:t>
      </w:r>
      <w:r>
        <w:rPr xmlns:w="http://schemas.openxmlformats.org/wordprocessingml/2006/main">
          <w:rFonts w:ascii="Arial" w:cs="Arial" w:eastAsia="Arial" w:hAnsi="Arial"/>
          <w:sz w:val="14"/>
          <w:szCs w:val="14"/>
          <w:color w:val="auto"/>
        </w:rPr>
        <w:t xml:space="preserve"> Niniejszy dokument dotyczy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fundusz i klasa akcji podane na początku niniejszego dokumentu.</w:t>
      </w:r>
      <w:r>
        <w:rPr xmlns:w="http://schemas.openxmlformats.org/wordprocessingml/2006/main">
          <w:rFonts w:ascii="Arial" w:cs="Arial" w:eastAsia="Arial" w:hAnsi="Arial"/>
          <w:sz w:val="15"/>
          <w:szCs w:val="15"/>
          <w:color w:val="auto"/>
        </w:rPr>
        <w:t xml:space="preserve"> Jednakże prospekt emisyjny, sprawozdania roczne i półroczne są przygotowywane dla parasola.</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iShares IV plc może zostać pociągnięta do odpowiedzialności wyłącznie na podstawie jakiegokolwiek oświadczenia zawartego w tym dokumencie, które wprowadza w błąd, jest niedokładne lub niezgodne z odpowiednimi częściami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prospektu emisyjnego Funduszu.</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Orientacyjna śróddzienna wartość aktywów netto klasy akcji jest publikowana na odpowiednich stronach internetowych giełd.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Zgodnie z prawem irlandzkim iShares IV plc dokonało rozdziału odpowiedzialności pomiędzy subfunduszami (tj. aktywa Funduszu nie będą wykorzystywane do wywiązywania się z zobowiązań innych subfunduszy w ramach iShares IV plc).</w:t>
      </w:r>
      <w:r>
        <w:rPr xmlns:w="http://schemas.openxmlformats.org/wordprocessingml/2006/main">
          <w:rFonts w:ascii="Arial" w:cs="Arial" w:eastAsia="Arial" w:hAnsi="Arial"/>
          <w:sz w:val="15"/>
          <w:szCs w:val="15"/>
          <w:color w:val="auto"/>
        </w:rPr>
        <w:t xml:space="preserve"> Ponadto aktywa Funduszu utrzymywane są odrębnie od aktywów innych subfunduszy.</w:t>
      </w:r>
      <w:r>
        <w:rPr xmlns:w="http://schemas.openxmlformats.org/wordprocessingml/2006/main">
          <w:rFonts w:ascii="Arial" w:cs="Arial" w:eastAsia="Arial" w:hAnsi="Arial"/>
          <w:sz w:val="15"/>
          <w:szCs w:val="15"/>
          <w:color w:val="auto"/>
        </w:rPr>
        <w:t xml:space="preserve"> Aktywa i zobowiązania specyficzne dla danej klasy akcji można by przypisać tylko do tej klasy akcji, jednak zgodnie z prawem irlandzkim nie ma rozdzielenia zobowiązań między kategorie akcji.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Zamiana akcji pomiędzy Funduszem a innymi subfunduszami w ramach iShares IV plc nie jest dostępna dla inwestorów.</w:t>
      </w:r>
      <w:r>
        <w:rPr xmlns:w="http://schemas.openxmlformats.org/wordprocessingml/2006/main">
          <w:rFonts w:ascii="Arial" w:cs="Arial" w:eastAsia="Arial" w:hAnsi="Arial"/>
          <w:sz w:val="15"/>
          <w:szCs w:val="15"/>
          <w:color w:val="auto"/>
        </w:rPr>
        <w:t xml:space="preserve"> Tylko upoważnieni uczestnicy mający bezpośredni kontakt z Funduszem mogą przechodzić z jednej klasy akcji Funduszu do drugiej, pod warunkiem spełnienia określonych warunków zawartych w prospekcie emisyjnym Funduszu.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Polityka wynagradzania Spółki, która opisuje sposób ustalania i przyznawania wynagrodzeń i świadczeń oraz związane z tym ustalenia dotyczące ładu korporacyjnego, dostępna jest na stronie internetowej www.blackrock.com/Remunerationpolicy lub na wniosek siedziby Spółki.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Fundusz ten oraz zarządzający nim BlackRock Asset Management Ireland Limited posiadają zezwolenie w Irlandii i są regulowane przez Central Bank of Ireland.</w:t>
      </w:r>
      <w:r>
        <w:rPr xmlns:w="http://schemas.openxmlformats.org/wordprocessingml/2006/main">
          <w:rFonts w:ascii="Arial" w:cs="Arial" w:eastAsia="Arial" w:hAnsi="Arial"/>
          <w:sz w:val="14"/>
          <w:szCs w:val="14"/>
          <w:color w:val="auto"/>
        </w:rPr>
        <w:t xml:space="preserve"> Niniejsze Kluczowe Informacje dla Inwestorów są aktualne na dzień 29 stycznia 2024 roku</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BF51972"/>
    <w:multiLevelType w:val="hybridMultilevel"/>
    <w:lvl w:ilvl="0">
      <w:lvlJc w:val="left"/>
      <w:lvlText w:val="-"/>
      <w:numFmt w:val="bullet"/>
      <w:start w:val="1"/>
    </w:lvl>
  </w:abstractNum>
  <w:abstractNum w:abstractNumId="1">
    <w:nsid w:val="60364E47"/>
    <w:multiLevelType w:val="hybridMultilevel"/>
    <w:lvl w:ilvl="0">
      <w:lvlJc w:val="left"/>
      <w:lvlText w:val="-"/>
      <w:numFmt w:val="bullet"/>
      <w:start w:val="1"/>
    </w:lvl>
  </w:abstractNum>
  <w:abstractNum w:abstractNumId="2">
    <w:nsid w:val="70E2B34"/>
    <w:multiLevelType w:val="hybridMultilevel"/>
    <w:lvl w:ilvl="0">
      <w:lvlJc w:val="left"/>
      <w:lvlText w:val="-"/>
      <w:numFmt w:val="bullet"/>
      <w:start w:val="1"/>
    </w:lvl>
  </w:abstractNum>
  <w:abstractNum w:abstractNumId="3">
    <w:nsid w:val="6B6EBA52"/>
    <w:multiLevelType w:val="hybridMultilevel"/>
    <w:lvl w:ilvl="0">
      <w:lvlJc w:val="left"/>
      <w:lvlText w:val="**"/>
      <w:numFmt w:val="bullet"/>
      <w:start w:val="1"/>
    </w:lvl>
  </w:abstractNum>
  <w:abstractNum w:abstractNumId="4">
    <w:nsid w:val="3835F5F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jpe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jpeg"/><Relationship Id="rId54" Type="http://schemas.openxmlformats.org/officeDocument/2006/relationships/image" Target="media/image4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2024-05-21T09:56:43Z</dcterms:created>
  <dcterms:modified xsi:type="dcterms:W3CDTF">2024-05-21T09:56:43Z</dcterms:modified>
</cp:coreProperties>
</file>