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443230</wp:posOffset>
                </wp:positionH>
                <wp:positionV relativeFrom="page">
                  <wp:posOffset>372110</wp:posOffset>
                </wp:positionV>
                <wp:extent cx="683387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3387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34.9pt;margin-top:29.3pt;width:538.1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490855</wp:posOffset>
                </wp:positionH>
                <wp:positionV relativeFrom="page">
                  <wp:posOffset>372110</wp:posOffset>
                </wp:positionV>
                <wp:extent cx="673925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3925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38.65pt;margin-top:29.3pt;width:530.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871220</wp:posOffset>
                </wp:positionV>
                <wp:extent cx="68478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68.6pt" to="573.6pt,68.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1746250</wp:posOffset>
                </wp:positionV>
                <wp:extent cx="684784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7.5pt" to="573.6pt,13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2961005</wp:posOffset>
                </wp:positionV>
                <wp:extent cx="684784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33.15pt" to="573.6pt,233.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4501515</wp:posOffset>
                </wp:positionV>
                <wp:extent cx="684784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354.45pt" to="573.6pt,354.4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369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9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89369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9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32.4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Opties voor futures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25400</wp:posOffset>
                </wp:positionV>
                <wp:extent cx="683323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868680"/>
                        </a:xfrm>
                        <a:prstGeom prst="rect">
                          <a:avLst/>
                        </a:prstGeom>
                        <a:solidFill>
                          <a:srgbClr val="9CC2E5"/>
                        </a:solidFill>
                      </wps:spPr>
                      <wps:bodyPr/>
                    </wps:wsp>
                  </a:graphicData>
                </a:graphic>
              </wp:anchor>
            </w:drawing>
          </mc:Choice>
          <mc:Fallback>
            <w:pict>
              <v:rect id="Shape 10" o:spid="_x0000_s1035" style="position:absolute;margin-left:-5.0499pt;margin-top:2pt;width:538.0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24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Lange putoptie op futures.</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opties op futures (a / k / a "futures-opties").</w:t>
      </w:r>
      <w:r>
        <w:rPr xmlns:w="http://schemas.openxmlformats.org/wordprocessingml/2006/main">
          <w:rFonts w:ascii="Calibri" w:cs="Calibri" w:eastAsia="Calibri" w:hAnsi="Calibri"/>
          <w:sz w:val="22"/>
          <w:szCs w:val="22"/>
          <w:color w:val="auto"/>
        </w:rPr>
        <w:t xml:space="preserve"> Futures-opties worden genoteerd en verhandeld op Amerikaanse futures-opties die zijn geregistreerd bij de Amerikaanse Commodity Futures Trading Commission ("CFTC") en worden uitgegeven,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83" w:lineRule="exact"/>
        <w:rPr>
          <w:sz w:val="24"/>
          <w:szCs w:val="24"/>
          <w:color w:val="auto"/>
        </w:rPr>
      </w:pPr>
    </w:p>
    <w:p>
      <w:pPr xmlns:w="http://schemas.openxmlformats.org/wordprocessingml/2006/main">
        <w:ind w:right="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futures-opties verhandelen totdat zij dit document en eventuele aanvullende toelichtingen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futures-contracten voor effecten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000000"/>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 -futures-risico-openbaarmakingen</w:t>
      </w:r>
      <w:r>
        <w:rPr xmlns:w="http://schemas.openxmlformats.org/wordprocessingml/2006/main">
          <w:rFonts w:ascii="Calibri" w:cs="Calibri" w:eastAsia="Calibri" w:hAnsi="Calibri"/>
          <w:sz w:val="22"/>
          <w:szCs w:val="22"/>
          <w:color w:val="000000"/>
        </w:rPr>
        <w:t xml:space="preserve"> kan</w:t>
      </w:r>
      <w:r>
        <w:rPr xmlns:w="http://schemas.openxmlformats.org/wordprocessingml/2006/main">
          <w:rFonts w:ascii="Calibri" w:cs="Calibri" w:eastAsia="Calibri" w:hAnsi="Calibri"/>
          <w:sz w:val="22"/>
          <w:szCs w:val="22"/>
          <w:color w:val="auto"/>
        </w:rPr>
        <w:t xml:space="preserve"> omvatten</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w:t>
      </w:r>
      <w:r>
        <w:rPr xmlns:w="http://schemas.openxmlformats.org/wordprocessingml/2006/main">
          <w:rFonts w:ascii="Calibri" w:cs="Calibri" w:eastAsia="Calibri" w:hAnsi="Calibri"/>
          <w:sz w:val="22"/>
          <w:szCs w:val="22"/>
          <w:color w:val="000000"/>
        </w:rPr>
        <w:t xml:space="preserve">geïnterpreteerd op een manier die in overeenstemming is met deze openbaarmakingen.</w:t>
      </w:r>
      <w:r>
        <w:rPr xmlns:w="http://schemas.openxmlformats.org/wordprocessingml/2006/main">
          <w:rFonts w:ascii="Calibri" w:cs="Calibri" w:eastAsia="Calibri" w:hAnsi="Calibri"/>
          <w:sz w:val="22"/>
          <w:szCs w:val="22"/>
          <w:color w:val="000000"/>
        </w:rPr>
        <w:t xml:space="preserve"> Omdat de onderliggende waarde van een futuresoptie een futurescontract is, moeten beleggers bovendien het relevante essentiële-informatiedocument voor het futurescontract dat aan de futuresoptie ten grondslag ligt, lezen en begrijpen.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-64135</wp:posOffset>
                </wp:positionH>
                <wp:positionV relativeFrom="paragraph">
                  <wp:posOffset>24130</wp:posOffset>
                </wp:positionV>
                <wp:extent cx="6833235" cy="47898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33235" cy="4789805"/>
                        </a:xfrm>
                        <a:prstGeom prst="rect">
                          <a:avLst/>
                        </a:prstGeom>
                        <a:solidFill>
                          <a:srgbClr val="BDD6EE"/>
                        </a:solidFill>
                      </wps:spPr>
                      <wps:bodyPr/>
                    </wps:wsp>
                  </a:graphicData>
                </a:graphic>
              </wp:anchor>
            </w:drawing>
          </mc:Choice>
          <mc:Fallback>
            <w:pict>
              <v:rect id="Shape 11" o:spid="_x0000_s1036" style="position:absolute;margin-left:-5.0499pt;margin-top:1.9pt;width:538.05pt;height:377.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10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Een futures-optie is het recht om een specifiek futures-contract te kopen of verkopen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door de optie uit te oefenen vóór de opgegeven vervaldatum.</w:t>
      </w:r>
      <w:r>
        <w:rPr xmlns:w="http://schemas.openxmlformats.org/wordprocessingml/2006/main">
          <w:rFonts w:ascii="Calibri" w:cs="Calibri" w:eastAsia="Calibri" w:hAnsi="Calibri"/>
          <w:sz w:val="22"/>
          <w:szCs w:val="22"/>
          <w:color w:val="auto"/>
        </w:rPr>
        <w:t xml:space="preserve"> De blootstelling aan het onderliggende futurescontract en aan het onderliggende belang is derhalve indirect, omdat de waarde van de optie wordt afgeleid van de waarde van de onderliggende toekomst.</w:t>
      </w:r>
      <w:r>
        <w:rPr xmlns:w="http://schemas.openxmlformats.org/wordprocessingml/2006/main">
          <w:rFonts w:ascii="Calibri" w:cs="Calibri" w:eastAsia="Calibri" w:hAnsi="Calibri"/>
          <w:sz w:val="22"/>
          <w:szCs w:val="22"/>
          <w:color w:val="auto"/>
        </w:rPr>
        <w:t xml:space="preserve"> Vervaldata voor futures opties variëren.</w:t>
      </w:r>
      <w:r>
        <w:rPr xmlns:w="http://schemas.openxmlformats.org/wordprocessingml/2006/main">
          <w:rFonts w:ascii="Calibri" w:cs="Calibri" w:eastAsia="Calibri" w:hAnsi="Calibri"/>
          <w:sz w:val="22"/>
          <w:szCs w:val="22"/>
          <w:color w:val="auto"/>
        </w:rPr>
        <w:t xml:space="preserve"> OCC mag de optie niet eenzijdig beëindigen.</w:t>
      </w:r>
    </w:p>
    <w:p>
      <w:pPr>
        <w:spacing w:after="0" w:line="68" w:lineRule="exact"/>
        <w:rPr>
          <w:sz w:val="24"/>
          <w:szCs w:val="24"/>
          <w:color w:val="auto"/>
        </w:rPr>
      </w:pPr>
    </w:p>
    <w:p>
      <w:pPr xmlns:w="http://schemas.openxmlformats.org/wordprocessingml/2006/main">
        <w:ind w:right="1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bepaalde buitengewone omstandigheden kan de Amerikaanse futures-optiebeurs de optie eenzijdig beëindigen.</w:t>
      </w:r>
      <w:r>
        <w:rPr xmlns:w="http://schemas.openxmlformats.org/wordprocessingml/2006/main">
          <w:rFonts w:ascii="Calibri" w:cs="Calibri" w:eastAsia="Calibri" w:hAnsi="Calibri"/>
          <w:sz w:val="22"/>
          <w:szCs w:val="22"/>
          <w:color w:val="auto"/>
        </w:rPr>
        <w:t xml:space="preserve"> Een bedrijfsevenement waarbij het onderliggende futurescontract of het onderliggende belang van dat futurescontract betrokken is, kan resulteren in een wijziging van de voorwaarden van de optie volgens de regels van OCC, die kunnen verschillen van de methodologie die op Europese markten wordt gebruikt.</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4" w:lineRule="exact"/>
        <w:rPr>
          <w:sz w:val="24"/>
          <w:szCs w:val="24"/>
          <w:color w:val="auto"/>
        </w:rPr>
      </w:pPr>
    </w:p>
    <w:p>
      <w:pPr xmlns:w="http://schemas.openxmlformats.org/wordprocessingml/2006/main">
        <w:ind w:right="2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volgens de voorwaarden te presteren om het onderliggende futurescontract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Futures-opties worden over het algemeen afgewikkeld door middel van oefening in het onderliggende futurescontract.</w:t>
      </w:r>
      <w:r>
        <w:rPr xmlns:w="http://schemas.openxmlformats.org/wordprocessingml/2006/main">
          <w:rFonts w:ascii="Calibri" w:cs="Calibri" w:eastAsia="Calibri" w:hAnsi="Calibri"/>
          <w:sz w:val="22"/>
          <w:szCs w:val="22"/>
          <w:color w:val="auto"/>
        </w:rPr>
        <w:t xml:space="preserve"> Dit betekent dat de houder van een putoptie bij uitoefening een shortpositie in het onderliggende futurescontract zou verwerven tegen de uitoefenprijs van de optie.</w:t>
      </w:r>
      <w:r>
        <w:rPr xmlns:w="http://schemas.openxmlformats.org/wordprocessingml/2006/main">
          <w:rFonts w:ascii="Calibri" w:cs="Calibri" w:eastAsia="Calibri" w:hAnsi="Calibri"/>
          <w:sz w:val="22"/>
          <w:szCs w:val="22"/>
          <w:color w:val="auto"/>
        </w:rPr>
        <w:t xml:space="preserve"> Sommige futures-opties kunnen in plaats daarvan worden afgewikkeld in contanten, in welk geval de houder een contante betaling zou ontvangen als, bij uitoefening, de waarde van de onderliggende toekomst lager is dan de uitoefenprijs.</w:t>
      </w:r>
      <w:r>
        <w:rPr xmlns:w="http://schemas.openxmlformats.org/wordprocessingml/2006/main">
          <w:rFonts w:ascii="Calibri" w:cs="Calibri" w:eastAsia="Calibri" w:hAnsi="Calibri"/>
          <w:sz w:val="22"/>
          <w:szCs w:val="22"/>
          <w:color w:val="auto"/>
        </w:rPr>
        <w:t xml:space="preserve"> Factoren die van invloed zijn op de waarde van een futures-optie zijn onder meer de uitoefenprijs, de tijd tot het verstrijken en de waarde van het onderliggende futurescontract en de gevoeligheid ervan voor prijsschommelingen (volatiliteit).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ind w:right="2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17780</wp:posOffset>
                </wp:positionV>
                <wp:extent cx="68472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4pt" to="533.6pt,1.4pt" o:allowincell="f" strokecolor="#000000" strokeweight="0.4799pt"/>
            </w:pict>
          </mc:Fallback>
        </mc:AlternateContent>
      </w:r>
    </w:p>
    <w:p>
      <w:pPr>
        <w:sectPr>
          <w:pgSz w:w="12240" w:h="15840" w:orient="portrait"/>
          <w:cols w:equalWidth="0" w:num="1">
            <w:col w:w="10560"/>
          </w:cols>
          <w:pgMar w:left="800" w:top="555" w:right="880" w:bottom="659"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9323705</wp:posOffset>
                </wp:positionV>
                <wp:extent cx="684784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734.15pt" to="573.6pt,734.1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930910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3091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6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930910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3091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6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1060450</wp:posOffset>
            </wp:positionH>
            <wp:positionV relativeFrom="paragraph">
              <wp:posOffset>15875</wp:posOffset>
            </wp:positionV>
            <wp:extent cx="4944110" cy="18091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drawing>
          <wp:anchor simplePos="0" relativeHeight="251657728" behindDoc="1" locked="0" layoutInCell="0" allowOverlap="1">
            <wp:simplePos x="0" y="0"/>
            <wp:positionH relativeFrom="column">
              <wp:posOffset>1060450</wp:posOffset>
            </wp:positionH>
            <wp:positionV relativeFrom="paragraph">
              <wp:posOffset>15875</wp:posOffset>
            </wp:positionV>
            <wp:extent cx="4944110" cy="180911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44110" cy="18091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5"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voorwaarden, maar kan het volgende omvatten:</w:t>
      </w:r>
    </w:p>
    <w:p>
      <w:pPr>
        <w:spacing w:after="0" w:line="79" w:lineRule="exact"/>
        <w:rPr>
          <w:sz w:val="20"/>
          <w:szCs w:val="20"/>
          <w:color w:val="auto"/>
        </w:rPr>
      </w:pPr>
    </w:p>
    <w:p>
      <w:pPr xmlns:w="http://schemas.openxmlformats.org/wordprocessingml/2006/main">
        <w:jc w:val="both"/>
        <w:ind w:left="220" w:right="12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houder kan de volledige premie verliezen als de uitoefenprijs voor een call boven de marktwaarde van de onderliggende waarde ligt of als de uitoefenprijs voor een put daaronder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houder die zijn optie niet verkoopt of uitoefent vóór het verstrijken ervan, kan zijn volledige investering verliezen.</w:t>
      </w:r>
    </w:p>
    <w:p>
      <w:pPr>
        <w:spacing w:after="0" w:line="76" w:lineRule="exact"/>
        <w:rPr>
          <w:rFonts w:ascii="Symbol" w:cs="Symbol" w:eastAsia="Symbol" w:hAnsi="Symbol"/>
          <w:sz w:val="22"/>
          <w:szCs w:val="22"/>
          <w:color w:val="auto"/>
        </w:rPr>
      </w:pPr>
    </w:p>
    <w:p>
      <w:pPr xmlns:w="http://schemas.openxmlformats.org/wordprocessingml/2006/main">
        <w:jc w:val="both"/>
        <w:ind w:left="220" w:right="80" w:hanging="218"/>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futures-optiebeurs waar futures-opties uitsluitend worden verhandeld, niet meer beschikbaar is, kunnen beleggers niet langer transacties sluiten.</w:t>
      </w:r>
      <w:r>
        <w:rPr xmlns:w="http://schemas.openxmlformats.org/wordprocessingml/2006/main">
          <w:rFonts w:ascii="Calibri" w:cs="Calibri" w:eastAsia="Calibri" w:hAnsi="Calibri"/>
          <w:sz w:val="22"/>
          <w:szCs w:val="22"/>
          <w:color w:val="auto"/>
        </w:rPr>
        <w:t xml:space="preserve"> Bovendien kunnen er momenten zijn waarop futures-optieprijzen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44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futurescontract voor een uitgeoefende optie niet beschikbaar is, kunnen de regels van OCC een alternatieve vorm van afwikkeling vereisen, zoals afwikkeling in contanten.</w:t>
      </w:r>
    </w:p>
    <w:p>
      <w:pPr>
        <w:spacing w:after="0" w:line="80" w:lineRule="exact"/>
        <w:rPr>
          <w:rFonts w:ascii="Symbol" w:cs="Symbol" w:eastAsia="Symbol" w:hAnsi="Symbol"/>
          <w:sz w:val="22"/>
          <w:szCs w:val="22"/>
          <w:color w:val="auto"/>
        </w:rPr>
      </w:pPr>
    </w:p>
    <w:p>
      <w:pPr xmlns:w="http://schemas.openxmlformats.org/wordprocessingml/2006/main">
        <w:ind w:left="220" w:right="620" w:hanging="218"/>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Beleggers moeten rekening houden met het risico- en beloningsprofiel van het futurescontract dat ten grondslag ligt aan de futuresoptie, zoals beschreven in het relevante essentiële-informatiedocument voor het onderliggende futurescontract.</w:t>
      </w:r>
    </w:p>
    <w:p>
      <w:pPr>
        <w:spacing w:after="0" w:line="2" w:lineRule="exact"/>
        <w:rPr>
          <w:rFonts w:ascii="Symbol" w:cs="Symbol" w:eastAsia="Symbol" w:hAnsi="Symbol"/>
          <w:sz w:val="22"/>
          <w:szCs w:val="22"/>
          <w:color w:val="auto"/>
        </w:rPr>
      </w:pPr>
    </w:p>
    <w:p>
      <w:pPr xmlns:w="http://schemas.openxmlformats.org/wordprocessingml/2006/main">
        <w:ind w:left="220" w:hanging="218"/>
        <w:spacing w:after="0" w:line="23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89" w:lineRule="exact"/>
        <w:rPr>
          <w:rFonts w:ascii="Symbol" w:cs="Symbol" w:eastAsia="Symbol" w:hAnsi="Symbol"/>
          <w:sz w:val="22"/>
          <w:szCs w:val="22"/>
          <w:color w:val="auto"/>
        </w:rPr>
      </w:pPr>
    </w:p>
    <w:p>
      <w:pPr xmlns:w="http://schemas.openxmlformats.org/wordprocessingml/2006/main">
        <w:ind w:left="220" w:right="80" w:hanging="218"/>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afrekenen in Amerikaanse dollars, en bijgevolg kunnen de beleggingsresultaten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7" w:lineRule="exact"/>
        <w:rPr>
          <w:sz w:val="20"/>
          <w:szCs w:val="20"/>
          <w:color w:val="auto"/>
        </w:rPr>
      </w:pPr>
    </w:p>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19050</wp:posOffset>
            </wp:positionH>
            <wp:positionV relativeFrom="paragraph">
              <wp:posOffset>14605</wp:posOffset>
            </wp:positionV>
            <wp:extent cx="6583680" cy="16217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extLst>
                    </a:blip>
                    <a:srcRect/>
                    <a:stretch>
                      <a:fillRect/>
                    </a:stretch>
                  </pic:blipFill>
                  <pic:spPr bwMode="auto">
                    <a:xfrm>
                      <a:off x="0" y="0"/>
                      <a:ext cx="6583680" cy="162179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14605</wp:posOffset>
            </wp:positionV>
            <wp:extent cx="6583680" cy="16217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extLst>
                    </a:blip>
                    <a:srcRect/>
                    <a:stretch>
                      <a:fillRect/>
                    </a:stretch>
                  </pic:blipFill>
                  <pic:spPr bwMode="auto">
                    <a:xfrm>
                      <a:off x="0" y="0"/>
                      <a:ext cx="6583680" cy="1621790"/>
                    </a:xfrm>
                    <a:prstGeom prst="rect">
                      <a:avLst/>
                    </a:prstGeom>
                    <a:noFill/>
                  </pic:spPr>
                </pic:pic>
              </a:graphicData>
            </a:graphic>
          </wp:anchor>
        </w:drawing>
      </w:r>
    </w:p>
    <w:p>
      <w:pPr>
        <w:sectPr>
          <w:pgSz w:w="12240" w:h="15840" w:orient="portrait"/>
          <w:cols w:equalWidth="0" w:num="1">
            <w:col w:w="10540"/>
          </w:cols>
          <w:pgMar w:left="800" w:top="562" w:right="900" w:bottom="73"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60" w:type="dxa"/>
            <w:vAlign w:val="bottom"/>
          </w:tcPr>
          <w:p>
            <w:pPr>
              <w:spacing w:after="0"/>
              <w:rPr>
                <w:sz w:val="16"/>
                <w:szCs w:val="16"/>
                <w:color w:val="auto"/>
              </w:rPr>
            </w:pPr>
          </w:p>
        </w:tc>
        <w:tc>
          <w:tcPr>
            <w:tcW w:w="800" w:type="dxa"/>
            <w:vAlign w:val="bottom"/>
          </w:tcPr>
          <w:p>
            <w:pPr>
              <w:spacing w:after="0"/>
              <w:rPr>
                <w:sz w:val="16"/>
                <w:szCs w:val="16"/>
                <w:color w:val="auto"/>
              </w:rPr>
            </w:pPr>
          </w:p>
        </w:tc>
        <w:tc>
          <w:tcPr>
            <w:tcW w:w="3620" w:type="dxa"/>
            <w:vAlign w:val="bottom"/>
            <w:gridSpan w:val="4"/>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595959"/>
              </w:rPr>
              <w:t xml:space="preserve">P / L van het houden van een put (Premium $ 5; Oefenprijs $ 45)</w:t>
            </w:r>
          </w:p>
        </w:tc>
        <w:tc>
          <w:tcPr>
            <w:tcW w:w="580" w:type="dxa"/>
            <w:vAlign w:val="bottom"/>
          </w:tcPr>
          <w:p>
            <w:pPr>
              <w:spacing w:after="0"/>
              <w:rPr>
                <w:sz w:val="16"/>
                <w:szCs w:val="16"/>
                <w:color w:val="auto"/>
              </w:rPr>
            </w:pPr>
          </w:p>
        </w:tc>
        <w:tc>
          <w:tcPr>
            <w:tcW w:w="60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60" w:type="dxa"/>
            <w:vAlign w:val="bottom"/>
          </w:tcPr>
          <w:p>
            <w:pPr xmlns:w="http://schemas.openxmlformats.org/wordprocessingml/2006/main">
              <w:jc w:val="right"/>
              <w:ind w:right="175"/>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820" w:type="dxa"/>
            <w:vAlign w:val="bottom"/>
          </w:tcPr>
          <w:p>
            <w:pPr xmlns:w="http://schemas.openxmlformats.org/wordprocessingml/2006/main">
              <w:jc w:val="right"/>
              <w:ind w:right="195"/>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800" w:type="dxa"/>
            <w:vAlign w:val="bottom"/>
          </w:tcPr>
          <w:p>
            <w:pPr xmlns:w="http://schemas.openxmlformats.org/wordprocessingml/2006/main">
              <w:jc w:val="right"/>
              <w:ind w:right="170"/>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1040" w:type="dxa"/>
            <w:vAlign w:val="bottom"/>
          </w:tcPr>
          <w:p>
            <w:pPr xmlns:w="http://schemas.openxmlformats.org/wordprocessingml/2006/main">
              <w:jc w:val="right"/>
              <w:ind w:right="410"/>
              <w:spacing w:after="0"/>
              <w:rPr>
                <w:sz w:val="20"/>
                <w:szCs w:val="20"/>
                <w:color w:val="auto"/>
              </w:rPr>
            </w:pPr>
            <w:r>
              <w:rPr xmlns:w="http://schemas.openxmlformats.org/wordprocessingml/2006/main">
                <w:rFonts w:ascii="Calibri" w:cs="Calibri" w:eastAsia="Calibri" w:hAnsi="Calibri"/>
                <w:sz w:val="18"/>
                <w:szCs w:val="18"/>
                <w:color w:val="595959"/>
              </w:rPr>
              <w:t xml:space="preserve">$ 80</w:t>
            </w:r>
          </w:p>
        </w:tc>
        <w:tc>
          <w:tcPr>
            <w:tcW w:w="58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93"/>
              </w:rPr>
              <w:t xml:space="preserve">$ 100</w:t>
            </w:r>
          </w:p>
        </w:tc>
        <w:tc>
          <w:tcPr>
            <w:tcW w:w="60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35"/>
        </w:trPr>
        <w:tc>
          <w:tcPr>
            <w:tcW w:w="160" w:type="dxa"/>
            <w:vAlign w:val="bottom"/>
          </w:tcPr>
          <w:p>
            <w:pPr>
              <w:spacing w:after="0"/>
              <w:rPr>
                <w:sz w:val="20"/>
                <w:szCs w:val="20"/>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$ 30</w:t>
            </w:r>
          </w:p>
        </w:tc>
        <w:tc>
          <w:tcPr>
            <w:tcW w:w="96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104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81"/>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9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3"/>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96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10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3"/>
        </w:trPr>
        <w:tc>
          <w:tcPr>
            <w:tcW w:w="160" w:type="dxa"/>
            <w:vAlign w:val="bottom"/>
            <w:vMerge w:val="continue"/>
          </w:tcPr>
          <w:p>
            <w:pPr>
              <w:spacing w:after="0"/>
              <w:rPr>
                <w:sz w:val="2"/>
                <w:szCs w:val="2"/>
                <w:color w:val="auto"/>
              </w:rPr>
            </w:pPr>
          </w:p>
        </w:tc>
        <w:tc>
          <w:tcPr>
            <w:tcW w:w="800" w:type="dxa"/>
            <w:vAlign w:val="bottom"/>
          </w:tcPr>
          <w:p>
            <w:pPr>
              <w:spacing w:after="0"/>
              <w:rPr>
                <w:sz w:val="2"/>
                <w:szCs w:val="2"/>
                <w:color w:val="auto"/>
              </w:rPr>
            </w:pPr>
          </w:p>
        </w:tc>
        <w:tc>
          <w:tcPr>
            <w:tcW w:w="960" w:type="dxa"/>
            <w:vAlign w:val="bottom"/>
          </w:tcPr>
          <w:p>
            <w:pPr>
              <w:spacing w:after="0"/>
              <w:rPr>
                <w:sz w:val="2"/>
                <w:szCs w:val="2"/>
                <w:color w:val="auto"/>
              </w:rPr>
            </w:pPr>
          </w:p>
        </w:tc>
        <w:tc>
          <w:tcPr>
            <w:tcW w:w="820" w:type="dxa"/>
            <w:vAlign w:val="bottom"/>
          </w:tcPr>
          <w:p>
            <w:pPr>
              <w:spacing w:after="0"/>
              <w:rPr>
                <w:sz w:val="2"/>
                <w:szCs w:val="2"/>
                <w:color w:val="auto"/>
              </w:rPr>
            </w:pPr>
          </w:p>
        </w:tc>
        <w:tc>
          <w:tcPr>
            <w:tcW w:w="800" w:type="dxa"/>
            <w:vAlign w:val="bottom"/>
          </w:tcPr>
          <w:p>
            <w:pPr>
              <w:spacing w:after="0"/>
              <w:rPr>
                <w:sz w:val="2"/>
                <w:szCs w:val="2"/>
                <w:color w:val="auto"/>
              </w:rPr>
            </w:pPr>
          </w:p>
        </w:tc>
        <w:tc>
          <w:tcPr>
            <w:tcW w:w="1040" w:type="dxa"/>
            <w:vAlign w:val="bottom"/>
          </w:tcPr>
          <w:p>
            <w:pPr>
              <w:spacing w:after="0"/>
              <w:rPr>
                <w:sz w:val="2"/>
                <w:szCs w:val="2"/>
                <w:color w:val="auto"/>
              </w:rPr>
            </w:pPr>
          </w:p>
        </w:tc>
        <w:tc>
          <w:tcPr>
            <w:tcW w:w="580" w:type="dxa"/>
            <w:vAlign w:val="bottom"/>
          </w:tcPr>
          <w:p>
            <w:pPr>
              <w:spacing w:after="0"/>
              <w:rPr>
                <w:sz w:val="2"/>
                <w:szCs w:val="2"/>
                <w:color w:val="auto"/>
              </w:rPr>
            </w:pPr>
          </w:p>
        </w:tc>
        <w:tc>
          <w:tcPr>
            <w:tcW w:w="6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258"/>
        </w:trPr>
        <w:tc>
          <w:tcPr>
            <w:tcW w:w="160" w:type="dxa"/>
            <w:vAlign w:val="bottom"/>
          </w:tcPr>
          <w:p>
            <w:pPr>
              <w:spacing w:after="0"/>
              <w:rPr>
                <w:sz w:val="22"/>
                <w:szCs w:val="22"/>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96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800" w:type="dxa"/>
            <w:vAlign w:val="bottom"/>
          </w:tcPr>
          <w:p>
            <w:pPr>
              <w:spacing w:after="0"/>
              <w:rPr>
                <w:sz w:val="22"/>
                <w:szCs w:val="22"/>
                <w:color w:val="auto"/>
              </w:rPr>
            </w:pPr>
          </w:p>
        </w:tc>
        <w:tc>
          <w:tcPr>
            <w:tcW w:w="1040" w:type="dxa"/>
            <w:vAlign w:val="bottom"/>
          </w:tcPr>
          <w:p>
            <w:pPr>
              <w:spacing w:after="0"/>
              <w:rPr>
                <w:sz w:val="22"/>
                <w:szCs w:val="22"/>
                <w:color w:val="auto"/>
              </w:rPr>
            </w:pPr>
          </w:p>
        </w:tc>
        <w:tc>
          <w:tcPr>
            <w:tcW w:w="580" w:type="dxa"/>
            <w:vAlign w:val="bottom"/>
          </w:tcPr>
          <w:p>
            <w:pPr>
              <w:spacing w:after="0"/>
              <w:rPr>
                <w:sz w:val="22"/>
                <w:szCs w:val="22"/>
                <w:color w:val="auto"/>
              </w:rPr>
            </w:pPr>
          </w:p>
        </w:tc>
        <w:tc>
          <w:tcPr>
            <w:tcW w:w="6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81"/>
        </w:trPr>
        <w:tc>
          <w:tcPr>
            <w:tcW w:w="160" w:type="dxa"/>
            <w:vAlign w:val="bottom"/>
          </w:tcPr>
          <w:p>
            <w:pPr>
              <w:spacing w:after="0"/>
              <w:rPr>
                <w:sz w:val="24"/>
                <w:szCs w:val="24"/>
                <w:color w:val="auto"/>
              </w:rPr>
            </w:pPr>
          </w:p>
        </w:tc>
        <w:tc>
          <w:tcPr>
            <w:tcW w:w="800" w:type="dxa"/>
            <w:vAlign w:val="bottom"/>
          </w:tcPr>
          <w:p>
            <w:pPr xmlns:w="http://schemas.openxmlformats.org/wordprocessingml/2006/main">
              <w:jc w:val="right"/>
              <w:ind w:right="330"/>
              <w:spacing w:after="0"/>
              <w:rPr>
                <w:sz w:val="20"/>
                <w:szCs w:val="20"/>
                <w:color w:val="auto"/>
              </w:rPr>
            </w:pPr>
            <w:r>
              <w:rPr xmlns:w="http://schemas.openxmlformats.org/wordprocessingml/2006/main">
                <w:rFonts w:ascii="Calibri" w:cs="Calibri" w:eastAsia="Calibri" w:hAnsi="Calibri"/>
                <w:sz w:val="18"/>
                <w:szCs w:val="18"/>
                <w:color w:val="595959"/>
              </w:rPr>
              <w:t xml:space="preserve">-$ 10</w:t>
            </w:r>
          </w:p>
        </w:tc>
        <w:tc>
          <w:tcPr>
            <w:tcW w:w="960" w:type="dxa"/>
            <w:vAlign w:val="bottom"/>
          </w:tcPr>
          <w:p>
            <w:pPr>
              <w:spacing w:after="0"/>
              <w:rPr>
                <w:sz w:val="24"/>
                <w:szCs w:val="24"/>
                <w:color w:val="auto"/>
              </w:rPr>
            </w:pPr>
          </w:p>
        </w:tc>
        <w:tc>
          <w:tcPr>
            <w:tcW w:w="2660" w:type="dxa"/>
            <w:vAlign w:val="bottom"/>
            <w:gridSpan w:val="3"/>
            <w:vMerge w:val="restart"/>
          </w:tcPr>
          <w:p>
            <w:pPr xmlns:w="http://schemas.openxmlformats.org/wordprocessingml/2006/main">
              <w:jc w:val="center"/>
              <w:ind w:right="13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800" w:type="dxa"/>
            <w:vAlign w:val="bottom"/>
          </w:tcPr>
          <w:p>
            <w:pPr>
              <w:spacing w:after="0"/>
              <w:rPr>
                <w:sz w:val="11"/>
                <w:szCs w:val="11"/>
                <w:color w:val="auto"/>
              </w:rPr>
            </w:pPr>
          </w:p>
        </w:tc>
        <w:tc>
          <w:tcPr>
            <w:tcW w:w="960" w:type="dxa"/>
            <w:vAlign w:val="bottom"/>
          </w:tcPr>
          <w:p>
            <w:pPr>
              <w:spacing w:after="0"/>
              <w:rPr>
                <w:sz w:val="11"/>
                <w:szCs w:val="11"/>
                <w:color w:val="auto"/>
              </w:rPr>
            </w:pPr>
          </w:p>
        </w:tc>
        <w:tc>
          <w:tcPr>
            <w:tcW w:w="2660" w:type="dxa"/>
            <w:vAlign w:val="bottom"/>
            <w:gridSpan w:val="3"/>
            <w:vMerge w:val="continue"/>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54" w:lineRule="exact"/>
        <w:rPr>
          <w:sz w:val="20"/>
          <w:szCs w:val="20"/>
          <w:color w:val="auto"/>
        </w:rPr>
      </w:pPr>
    </w:p>
    <w:p>
      <w:pPr xmlns:w="http://schemas.openxmlformats.org/wordprocessingml/2006/main">
        <w:ind w:right="54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Markt Onderliggende Verhuizing (</w:t>
      </w:r>
      <w:r>
        <w:rPr xmlns:w="http://schemas.openxmlformats.org/wordprocessingml/2006/main">
          <w:rFonts w:ascii="Calibri" w:cs="Calibri" w:eastAsia="Calibri" w:hAnsi="Calibri"/>
          <w:sz w:val="16"/>
          <w:szCs w:val="16"/>
          <w:u w:val="single" w:color="auto"/>
          <w:color w:val="FF0000"/>
        </w:rPr>
        <w:t xml:space="preserve">Rode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Marktprijs: $15</w:t>
      </w:r>
    </w:p>
    <w:p>
      <w:pPr>
        <w:spacing w:after="0" w:line="63" w:lineRule="exact"/>
        <w:rPr>
          <w:sz w:val="20"/>
          <w:szCs w:val="20"/>
          <w:color w:val="auto"/>
        </w:rPr>
      </w:pPr>
    </w:p>
    <w:p>
      <w:pPr xmlns:w="http://schemas.openxmlformats.org/wordprocessingml/2006/main">
        <w:ind w:left="300" w:hanging="150"/>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$ 25</w:t>
      </w:r>
    </w:p>
    <w:p>
      <w:pPr xmlns:w="http://schemas.openxmlformats.org/wordprocessingml/2006/main">
        <w:ind w:left="160"/>
        <w:spacing w:after="0" w:line="197"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6"/>
          <w:szCs w:val="16"/>
          <w:color w:val="auto"/>
        </w:rPr>
        <w:t xml:space="preserve">+$ 25</w:t>
      </w:r>
    </w:p>
    <w:p>
      <w:pPr>
        <w:spacing w:after="0" w:line="154" w:lineRule="exact"/>
        <w:rPr>
          <w:sz w:val="20"/>
          <w:szCs w:val="20"/>
          <w:color w:val="auto"/>
        </w:rPr>
      </w:pPr>
    </w:p>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Markt Onderliggende Verhuizing (</w:t>
      </w:r>
      <w:r>
        <w:rPr xmlns:w="http://schemas.openxmlformats.org/wordprocessingml/2006/main">
          <w:rFonts w:ascii="Calibri" w:cs="Calibri" w:eastAsia="Calibri" w:hAnsi="Calibri"/>
          <w:sz w:val="16"/>
          <w:szCs w:val="16"/>
          <w:u w:val="single" w:color="auto"/>
          <w:color w:val="00B050"/>
        </w:rPr>
        <w:t xml:space="preserve">Groene Plot Point</w:t>
      </w:r>
      <w:r>
        <w:rPr xmlns:w="http://schemas.openxmlformats.org/wordprocessingml/2006/main">
          <w:rFonts w:ascii="Calibri" w:cs="Calibri" w:eastAsia="Calibri" w:hAnsi="Calibri"/>
          <w:sz w:val="16"/>
          <w:szCs w:val="16"/>
          <w:u w:val="single" w:color="auto"/>
          <w:color w:val="auto"/>
        </w:rPr>
        <w:t xml:space="preserve">) </w:t>
      </w:r>
      <w:r>
        <w:rPr xmlns:w="http://schemas.openxmlformats.org/wordprocessingml/2006/main">
          <w:rFonts w:ascii="Calibri" w:cs="Calibri" w:eastAsia="Calibri" w:hAnsi="Calibri"/>
          <w:sz w:val="16"/>
          <w:szCs w:val="16"/>
          <w:color w:val="auto"/>
        </w:rPr>
        <w:t xml:space="preserve">Marktprijs: $35</w:t>
      </w:r>
    </w:p>
    <w:p>
      <w:pPr>
        <w:spacing w:after="0" w:line="6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w:t>
      </w:r>
    </w:p>
    <w:p>
      <w:pPr xmlns:w="http://schemas.openxmlformats.org/wordprocessingml/2006/main">
        <w:ind w:left="16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w:t>
      </w:r>
    </w:p>
    <w:p>
      <w:pPr>
        <w:spacing w:after="0" w:line="96" w:lineRule="exact"/>
        <w:rPr>
          <w:sz w:val="20"/>
          <w:szCs w:val="20"/>
          <w:color w:val="auto"/>
        </w:rPr>
      </w:pPr>
    </w:p>
    <w:p>
      <w:pPr xmlns:w="http://schemas.openxmlformats.org/wordprocessingml/2006/main">
        <w:ind w:right="30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minus de premie.</w:t>
      </w:r>
    </w:p>
    <w:p>
      <w:pPr>
        <w:spacing w:after="0" w:line="200" w:lineRule="exact"/>
        <w:rPr>
          <w:sz w:val="20"/>
          <w:szCs w:val="20"/>
          <w:color w:val="auto"/>
        </w:rPr>
      </w:pPr>
    </w:p>
    <w:p>
      <w:pPr>
        <w:sectPr>
          <w:pgSz w:w="12240" w:h="15840" w:orient="portrait"/>
          <w:cols w:equalWidth="0" w:num="2">
            <w:col w:w="6180" w:space="300"/>
            <w:col w:w="4060"/>
          </w:cols>
          <w:pgMar w:left="800" w:top="562" w:right="900" w:bottom="73" w:gutter="0" w:footer="0" w:header="0"/>
          <w:type w:val="continuous"/>
        </w:sectPr>
      </w:pPr>
    </w:p>
    <w:p>
      <w:pPr>
        <w:spacing w:after="0" w:line="91"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80" w:lineRule="exact"/>
        <w:rPr>
          <w:sz w:val="20"/>
          <w:szCs w:val="20"/>
          <w:color w:val="auto"/>
        </w:rPr>
      </w:pPr>
    </w:p>
    <w:p>
      <w:pPr xmlns:w="http://schemas.openxmlformats.org/wordprocessingml/2006/main">
        <w:ind w:right="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futures-opties liggen tussen OCC en een groep makelaarskantoren die clearingleden worden genoemd en die de posities van alle futures-opties dragen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-70485</wp:posOffset>
                </wp:positionH>
                <wp:positionV relativeFrom="paragraph">
                  <wp:posOffset>17145</wp:posOffset>
                </wp:positionV>
                <wp:extent cx="684720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20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5499pt,1.35pt" to="533.6pt,1.35pt" o:allowincell="f" strokecolor="#000000" strokeweight="0.4799pt"/>
            </w:pict>
          </mc:Fallback>
        </mc:AlternateContent>
      </w:r>
    </w:p>
    <w:p>
      <w:pPr>
        <w:sectPr>
          <w:pgSz w:w="12240" w:h="15840" w:orient="portrait"/>
          <w:cols w:equalWidth="0" w:num="1">
            <w:col w:w="10540"/>
          </w:cols>
          <w:pgMar w:left="800" w:top="562" w:right="900" w:bottom="73" w:gutter="0" w:footer="0" w:header="0"/>
          <w:type w:val="continuous"/>
        </w:sectPr>
      </w:pPr>
    </w:p>
    <w:bookmarkStart w:id="2" w:name="page3"/>
    <w:bookmarkEnd w:id="2"/>
    <w:p>
      <w:pPr xmlns:w="http://schemas.openxmlformats.org/wordprocessingml/2006/main">
        <w:ind w:left="220" w:right="60"/>
        <w:spacing w:after="0" w:line="232"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368300</wp:posOffset>
                </wp:positionV>
                <wp:extent cx="684784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29pt" to="573.6pt,29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1738630</wp:posOffset>
                </wp:positionV>
                <wp:extent cx="684784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136.9pt" to="573.6pt,136.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5838190</wp:posOffset>
                </wp:positionV>
                <wp:extent cx="684784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459.7pt" to="573.6pt,459.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436880</wp:posOffset>
                </wp:positionH>
                <wp:positionV relativeFrom="page">
                  <wp:posOffset>7378700</wp:posOffset>
                </wp:positionV>
                <wp:extent cx="684784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4784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4pt,581pt" to="573.6pt,5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440055</wp:posOffset>
                </wp:positionH>
                <wp:positionV relativeFrom="page">
                  <wp:posOffset>365125</wp:posOffset>
                </wp:positionV>
                <wp:extent cx="0" cy="896175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4.65pt,28.75pt" to="34.6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7281545</wp:posOffset>
                </wp:positionH>
                <wp:positionV relativeFrom="page">
                  <wp:posOffset>365125</wp:posOffset>
                </wp:positionV>
                <wp:extent cx="0" cy="8961755"/>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7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35pt,28.75pt" to="573.35pt,73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houders en schrijvers in hun OCC-accounts.</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3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DADADA"/>
            </w:tcBorders>
            <w:gridSpan w:val="2"/>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220" w:type="dxa"/>
            <w:vAlign w:val="bottom"/>
            <w:tcBorders>
              <w:top w:val="single" w:sz="8" w:color="auto"/>
              <w:bottom w:val="single" w:sz="8" w:color="auto"/>
            </w:tcBorders>
            <w:shd w:val="clear" w:color="auto" w:fill="DADADA"/>
          </w:tcPr>
          <w:p>
            <w:pPr>
              <w:spacing w:after="0"/>
              <w:rPr>
                <w:sz w:val="23"/>
                <w:szCs w:val="23"/>
                <w:color w:val="auto"/>
              </w:rPr>
            </w:pPr>
          </w:p>
        </w:tc>
        <w:tc>
          <w:tcPr>
            <w:tcW w:w="48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0" w:type="dxa"/>
            <w:vAlign w:val="bottom"/>
          </w:tcPr>
          <w:p>
            <w:pPr>
              <w:spacing w:after="0"/>
              <w:rPr>
                <w:sz w:val="1"/>
                <w:szCs w:val="1"/>
                <w:color w:val="auto"/>
              </w:rPr>
            </w:pPr>
          </w:p>
        </w:tc>
      </w:tr>
      <w:tr>
        <w:trPr>
          <w:trHeight w:val="251"/>
        </w:trPr>
        <w:tc>
          <w:tcPr>
            <w:tcW w:w="534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 dan is dit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2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42"/>
        </w:trPr>
        <w:tc>
          <w:tcPr>
            <w:tcW w:w="534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informatie geven over deze</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100" w:type="dxa"/>
            <w:vAlign w:val="bottom"/>
            <w:tcBorders>
              <w:bottom w:val="single" w:sz="8" w:color="auto"/>
            </w:tcBorders>
          </w:tcPr>
          <w:p>
            <w:pPr>
              <w:spacing w:after="0"/>
              <w:rPr>
                <w:sz w:val="21"/>
                <w:szCs w:val="21"/>
                <w:color w:val="auto"/>
              </w:rPr>
            </w:pPr>
          </w:p>
        </w:tc>
        <w:tc>
          <w:tcPr>
            <w:tcW w:w="22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39"/>
        </w:trPr>
        <w:tc>
          <w:tcPr>
            <w:tcW w:w="534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kosten en hoe deze uw investering beïnvloeden.</w:t>
            </w:r>
            <w:r>
              <w:rPr xmlns:w="http://schemas.openxmlformats.org/wordprocessingml/2006/main">
                <w:rFonts w:ascii="Calibri" w:cs="Calibri" w:eastAsia="Calibri" w:hAnsi="Calibri"/>
                <w:sz w:val="22"/>
                <w:szCs w:val="22"/>
                <w:color w:val="auto"/>
              </w:rPr>
              <w:t xml:space="preserve"> samenvoegen</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0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Kosten voor futures opties zijn afhankelijk van meerdere factoren.</w:t>
            </w:r>
            <w:r>
              <w:rPr xmlns:w="http://schemas.openxmlformats.org/wordprocessingml/2006/main">
                <w:rFonts w:ascii="Calibri" w:cs="Calibri" w:eastAsia="Calibri" w:hAnsi="Calibri"/>
                <w:sz w:val="22"/>
                <w:szCs w:val="22"/>
                <w:color w:val="auto"/>
              </w:rPr>
              <w:t xml:space="preserve"> Een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8"/>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premie van de optie is de door de houder aan de</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0" w:type="dxa"/>
            <w:vAlign w:val="bottom"/>
          </w:tcPr>
          <w:p>
            <w:pPr>
              <w:spacing w:after="0"/>
              <w:rPr>
                <w:sz w:val="1"/>
                <w:szCs w:val="1"/>
                <w:color w:val="auto"/>
              </w:rPr>
            </w:pPr>
          </w:p>
        </w:tc>
      </w:tr>
      <w:tr>
        <w:trPr>
          <w:trHeight w:val="240"/>
        </w:trPr>
        <w:tc>
          <w:tcPr>
            <w:tcW w:w="534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Schrijver.</w:t>
            </w:r>
            <w:r>
              <w:rPr xmlns:w="http://schemas.openxmlformats.org/wordprocessingml/2006/main">
                <w:rFonts w:ascii="Calibri" w:cs="Calibri" w:eastAsia="Calibri" w:hAnsi="Calibri"/>
                <w:sz w:val="22"/>
                <w:szCs w:val="22"/>
                <w:color w:val="auto"/>
              </w:rPr>
              <w:t xml:space="preserve"> Factoren die een significant effect hebben op de premie</w:t>
            </w:r>
          </w:p>
        </w:tc>
        <w:tc>
          <w:tcPr>
            <w:tcW w:w="100" w:type="dxa"/>
            <w:vAlign w:val="bottom"/>
          </w:tcPr>
          <w:p>
            <w:pPr>
              <w:spacing w:after="0"/>
              <w:rPr>
                <w:sz w:val="20"/>
                <w:szCs w:val="20"/>
                <w:color w:val="auto"/>
              </w:rPr>
            </w:pPr>
          </w:p>
        </w:tc>
        <w:tc>
          <w:tcPr>
            <w:tcW w:w="440" w:type="dxa"/>
            <w:vAlign w:val="bottom"/>
          </w:tcPr>
          <w:p>
            <w:pPr>
              <w:spacing w:after="0"/>
              <w:rPr>
                <w:sz w:val="20"/>
                <w:szCs w:val="20"/>
                <w:color w:val="auto"/>
              </w:rPr>
            </w:pPr>
          </w:p>
        </w:tc>
        <w:tc>
          <w:tcPr>
            <w:tcW w:w="100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omvatten, maar zijn niet beperkt tot, de onderliggende belangen</w:t>
            </w:r>
          </w:p>
        </w:tc>
        <w:tc>
          <w:tcPr>
            <w:tcW w:w="100" w:type="dxa"/>
            <w:vAlign w:val="bottom"/>
          </w:tcPr>
          <w:p>
            <w:pPr>
              <w:spacing w:after="0"/>
              <w:rPr>
                <w:sz w:val="16"/>
                <w:szCs w:val="16"/>
                <w:color w:val="auto"/>
              </w:rPr>
            </w:pPr>
          </w:p>
        </w:tc>
        <w:tc>
          <w:tcPr>
            <w:tcW w:w="1440" w:type="dxa"/>
            <w:vAlign w:val="bottom"/>
            <w:tcBorders>
              <w:right w:val="single" w:sz="8" w:color="auto"/>
            </w:tcBorders>
            <w:gridSpan w:val="2"/>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6"/>
                <w:szCs w:val="16"/>
                <w:color w:val="auto"/>
              </w:rPr>
            </w:pPr>
          </w:p>
        </w:tc>
        <w:tc>
          <w:tcPr>
            <w:tcW w:w="206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3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waarde, tijd tot het verstrijken, en uitoefenprijs.</w:t>
            </w:r>
            <w:r>
              <w:rPr xmlns:w="http://schemas.openxmlformats.org/wordprocessingml/2006/main">
                <w:rFonts w:ascii="Calibri" w:cs="Calibri" w:eastAsia="Calibri" w:hAnsi="Calibri"/>
                <w:sz w:val="22"/>
                <w:szCs w:val="22"/>
                <w:color w:val="auto"/>
              </w:rPr>
              <w:t xml:space="preserve"> Opties</w:t>
            </w:r>
          </w:p>
        </w:tc>
        <w:tc>
          <w:tcPr>
            <w:tcW w:w="100" w:type="dxa"/>
            <w:vAlign w:val="bottom"/>
          </w:tcPr>
          <w:p>
            <w:pPr>
              <w:spacing w:after="0"/>
              <w:rPr>
                <w:sz w:val="11"/>
                <w:szCs w:val="11"/>
                <w:color w:val="auto"/>
              </w:rPr>
            </w:pPr>
          </w:p>
        </w:tc>
        <w:tc>
          <w:tcPr>
            <w:tcW w:w="1440" w:type="dxa"/>
            <w:vAlign w:val="bottom"/>
            <w:tcBorders>
              <w:right w:val="single" w:sz="8" w:color="auto"/>
            </w:tcBorders>
            <w:gridSpan w:val="2"/>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3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3"/>
        </w:trPr>
        <w:tc>
          <w:tcPr>
            <w:tcW w:w="53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Beleggen brengt extra kosten met zich mee, inclusief belastingen</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gridSpan w:val="2"/>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2060" w:type="dxa"/>
            <w:vAlign w:val="bottom"/>
            <w:tcBorders>
              <w:bottom w:val="single" w:sz="8" w:color="auto"/>
              <w:right w:val="single" w:sz="8" w:color="auto"/>
            </w:tcBorders>
            <w:gridSpan w:val="5"/>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3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3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gridSpan w:val="2"/>
            <w:vMerge w:val="continue"/>
          </w:tcPr>
          <w:p>
            <w:pPr>
              <w:spacing w:after="0"/>
              <w:rPr>
                <w:sz w:val="5"/>
                <w:szCs w:val="5"/>
                <w:color w:val="auto"/>
              </w:rPr>
            </w:pPr>
          </w:p>
        </w:tc>
        <w:tc>
          <w:tcPr>
            <w:tcW w:w="100" w:type="dxa"/>
            <w:vAlign w:val="bottom"/>
          </w:tcPr>
          <w:p>
            <w:pPr>
              <w:spacing w:after="0"/>
              <w:rPr>
                <w:sz w:val="5"/>
                <w:szCs w:val="5"/>
                <w:color w:val="auto"/>
              </w:rPr>
            </w:pPr>
          </w:p>
        </w:tc>
        <w:tc>
          <w:tcPr>
            <w:tcW w:w="22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3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Overwegingen, transactiekosten en marge</w:t>
            </w: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34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vereisten die de winst of het verlies aanzienlijk kunnen beïnvloeden.</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gridSpan w:val="2"/>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204"/>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Transactiekosten bestaan voornamelijk uit commissies</w:t>
            </w:r>
          </w:p>
        </w:tc>
        <w:tc>
          <w:tcPr>
            <w:tcW w:w="100" w:type="dxa"/>
            <w:vAlign w:val="bottom"/>
            <w:shd w:val="clear" w:color="auto" w:fill="DADADA"/>
          </w:tcPr>
          <w:p>
            <w:pPr>
              <w:spacing w:after="0"/>
              <w:rPr>
                <w:sz w:val="17"/>
                <w:szCs w:val="17"/>
                <w:color w:val="auto"/>
              </w:rPr>
            </w:pPr>
          </w:p>
        </w:tc>
        <w:tc>
          <w:tcPr>
            <w:tcW w:w="440" w:type="dxa"/>
            <w:vAlign w:val="bottom"/>
            <w:shd w:val="clear" w:color="auto" w:fill="DADADA"/>
          </w:tcPr>
          <w:p>
            <w:pPr>
              <w:spacing w:after="0"/>
              <w:rPr>
                <w:sz w:val="17"/>
                <w:szCs w:val="17"/>
                <w:color w:val="auto"/>
              </w:rPr>
            </w:pPr>
          </w:p>
        </w:tc>
        <w:tc>
          <w:tcPr>
            <w:tcW w:w="100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2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0" w:type="dxa"/>
            <w:vAlign w:val="bottom"/>
          </w:tcPr>
          <w:p>
            <w:pPr>
              <w:spacing w:after="0"/>
              <w:rPr>
                <w:sz w:val="1"/>
                <w:szCs w:val="1"/>
                <w:color w:val="auto"/>
              </w:rPr>
            </w:pPr>
          </w:p>
        </w:tc>
      </w:tr>
      <w:tr>
        <w:trPr>
          <w:trHeight w:val="66"/>
        </w:trPr>
        <w:tc>
          <w:tcPr>
            <w:tcW w:w="53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gridSpan w:val="2"/>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shd w:val="clear" w:color="auto" w:fill="DADADA"/>
          </w:tcPr>
          <w:p>
            <w:pPr>
              <w:spacing w:after="0"/>
              <w:rPr>
                <w:sz w:val="5"/>
                <w:szCs w:val="5"/>
                <w:color w:val="auto"/>
              </w:rPr>
            </w:pPr>
          </w:p>
        </w:tc>
        <w:tc>
          <w:tcPr>
            <w:tcW w:w="22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0" w:type="dxa"/>
            <w:vAlign w:val="bottom"/>
          </w:tcPr>
          <w:p>
            <w:pPr>
              <w:spacing w:after="0"/>
              <w:rPr>
                <w:sz w:val="1"/>
                <w:szCs w:val="1"/>
                <w:color w:val="auto"/>
              </w:rPr>
            </w:pPr>
          </w:p>
        </w:tc>
      </w:tr>
      <w:tr>
        <w:trPr>
          <w:trHeight w:val="168"/>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(die worden opgelegd bij opening, sluiting, uitoefening en</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gridSpan w:val="2"/>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2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gridSpan w:val="2"/>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2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cessietransacties), maar kan ook marge omvatten</w:t>
            </w:r>
          </w:p>
        </w:tc>
        <w:tc>
          <w:tcPr>
            <w:tcW w:w="100" w:type="dxa"/>
            <w:vAlign w:val="bottom"/>
          </w:tcPr>
          <w:p>
            <w:pPr>
              <w:spacing w:after="0"/>
              <w:rPr>
                <w:sz w:val="10"/>
                <w:szCs w:val="10"/>
                <w:color w:val="auto"/>
              </w:rPr>
            </w:pPr>
          </w:p>
        </w:tc>
        <w:tc>
          <w:tcPr>
            <w:tcW w:w="1440" w:type="dxa"/>
            <w:vAlign w:val="bottom"/>
            <w:tcBorders>
              <w:right w:val="single" w:sz="8" w:color="auto"/>
            </w:tcBorders>
            <w:gridSpan w:val="2"/>
            <w:vMerge w:val="continue"/>
          </w:tcPr>
          <w:p>
            <w:pPr>
              <w:spacing w:after="0"/>
              <w:rPr>
                <w:sz w:val="10"/>
                <w:szCs w:val="10"/>
                <w:color w:val="auto"/>
              </w:rPr>
            </w:pPr>
          </w:p>
        </w:tc>
        <w:tc>
          <w:tcPr>
            <w:tcW w:w="10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en 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6"/>
                <w:szCs w:val="6"/>
                <w:color w:val="auto"/>
              </w:rPr>
            </w:pPr>
          </w:p>
        </w:tc>
        <w:tc>
          <w:tcPr>
            <w:tcW w:w="1440" w:type="dxa"/>
            <w:vAlign w:val="bottom"/>
            <w:tcBorders>
              <w:right w:val="single" w:sz="8" w:color="auto"/>
            </w:tcBorders>
            <w:gridSpan w:val="2"/>
            <w:vMerge w:val="continue"/>
          </w:tcPr>
          <w:p>
            <w:pPr>
              <w:spacing w:after="0"/>
              <w:rPr>
                <w:sz w:val="6"/>
                <w:szCs w:val="6"/>
                <w:color w:val="auto"/>
              </w:rPr>
            </w:pPr>
          </w:p>
        </w:tc>
        <w:tc>
          <w:tcPr>
            <w:tcW w:w="100" w:type="dxa"/>
            <w:vAlign w:val="bottom"/>
          </w:tcPr>
          <w:p>
            <w:pPr>
              <w:spacing w:after="0"/>
              <w:rPr>
                <w:sz w:val="6"/>
                <w:szCs w:val="6"/>
                <w:color w:val="auto"/>
              </w:rPr>
            </w:pPr>
          </w:p>
        </w:tc>
        <w:tc>
          <w:tcPr>
            <w:tcW w:w="22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34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3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worden gedeponeerd door een schrijver bij zijn makelaarskantoor als</w:t>
            </w:r>
          </w:p>
        </w:tc>
        <w:tc>
          <w:tcPr>
            <w:tcW w:w="100" w:type="dxa"/>
            <w:vAlign w:val="bottom"/>
          </w:tcPr>
          <w:p>
            <w:pPr>
              <w:spacing w:after="0"/>
              <w:rPr>
                <w:sz w:val="18"/>
                <w:szCs w:val="18"/>
                <w:color w:val="auto"/>
              </w:rPr>
            </w:pPr>
          </w:p>
        </w:tc>
        <w:tc>
          <w:tcPr>
            <w:tcW w:w="1440" w:type="dxa"/>
            <w:vAlign w:val="bottom"/>
            <w:tcBorders>
              <w:right w:val="single" w:sz="8" w:color="auto"/>
            </w:tcBorders>
            <w:gridSpan w:val="2"/>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8"/>
                <w:szCs w:val="18"/>
                <w:color w:val="auto"/>
              </w:rPr>
            </w:pPr>
          </w:p>
        </w:tc>
        <w:tc>
          <w:tcPr>
            <w:tcW w:w="206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0"/>
        </w:trPr>
        <w:tc>
          <w:tcPr>
            <w:tcW w:w="53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4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tot koop of verkoop</w:t>
            </w:r>
          </w:p>
        </w:tc>
        <w:tc>
          <w:tcPr>
            <w:tcW w:w="100" w:type="dxa"/>
            <w:vAlign w:val="bottom"/>
          </w:tcPr>
          <w:p>
            <w:pPr>
              <w:spacing w:after="0"/>
              <w:rPr>
                <w:sz w:val="21"/>
                <w:szCs w:val="21"/>
                <w:color w:val="auto"/>
              </w:rPr>
            </w:pPr>
          </w:p>
        </w:tc>
        <w:tc>
          <w:tcPr>
            <w:tcW w:w="440" w:type="dxa"/>
            <w:vAlign w:val="bottom"/>
          </w:tcPr>
          <w:p>
            <w:pPr>
              <w:spacing w:after="0"/>
              <w:rPr>
                <w:sz w:val="21"/>
                <w:szCs w:val="21"/>
                <w:color w:val="auto"/>
              </w:rPr>
            </w:pPr>
          </w:p>
        </w:tc>
        <w:tc>
          <w:tcPr>
            <w:tcW w:w="100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de onderliggende rente of de afwikkeling in contanten betalen</w:t>
            </w:r>
          </w:p>
        </w:tc>
        <w:tc>
          <w:tcPr>
            <w:tcW w:w="100" w:type="dxa"/>
            <w:vAlign w:val="bottom"/>
          </w:tcPr>
          <w:p>
            <w:pPr>
              <w:spacing w:after="0"/>
              <w:rPr>
                <w:sz w:val="14"/>
                <w:szCs w:val="14"/>
                <w:color w:val="auto"/>
              </w:rPr>
            </w:pPr>
          </w:p>
        </w:tc>
        <w:tc>
          <w:tcPr>
            <w:tcW w:w="440" w:type="dxa"/>
            <w:vAlign w:val="bottom"/>
          </w:tcPr>
          <w:p>
            <w:pPr>
              <w:spacing w:after="0"/>
              <w:rPr>
                <w:sz w:val="14"/>
                <w:szCs w:val="14"/>
                <w:color w:val="auto"/>
              </w:rPr>
            </w:pPr>
          </w:p>
        </w:tc>
        <w:tc>
          <w:tcPr>
            <w:tcW w:w="100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2"/>
        </w:trPr>
        <w:tc>
          <w:tcPr>
            <w:tcW w:w="53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gridSpan w:val="2"/>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0" w:type="dxa"/>
            <w:vAlign w:val="bottom"/>
          </w:tcPr>
          <w:p>
            <w:pPr>
              <w:spacing w:after="0"/>
              <w:rPr>
                <w:sz w:val="1"/>
                <w:szCs w:val="1"/>
                <w:color w:val="auto"/>
              </w:rPr>
            </w:pPr>
          </w:p>
        </w:tc>
      </w:tr>
      <w:tr>
        <w:trPr>
          <w:trHeight w:val="106"/>
        </w:trPr>
        <w:tc>
          <w:tcPr>
            <w:tcW w:w="534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een schrijver</w:t>
            </w:r>
          </w:p>
        </w:tc>
        <w:tc>
          <w:tcPr>
            <w:tcW w:w="100" w:type="dxa"/>
            <w:vAlign w:val="bottom"/>
          </w:tcPr>
          <w:p>
            <w:pPr>
              <w:spacing w:after="0"/>
              <w:rPr>
                <w:sz w:val="9"/>
                <w:szCs w:val="9"/>
                <w:color w:val="auto"/>
              </w:rPr>
            </w:pPr>
          </w:p>
        </w:tc>
        <w:tc>
          <w:tcPr>
            <w:tcW w:w="1440" w:type="dxa"/>
            <w:vAlign w:val="bottom"/>
            <w:tcBorders>
              <w:right w:val="single" w:sz="8" w:color="auto"/>
            </w:tcBorders>
            <w:gridSpan w:val="2"/>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440" w:type="dxa"/>
            <w:vAlign w:val="bottom"/>
            <w:tcBorders>
              <w:bottom w:val="single" w:sz="8" w:color="auto"/>
            </w:tcBorders>
          </w:tcPr>
          <w:p>
            <w:pPr>
              <w:spacing w:after="0" w:line="20" w:lineRule="exact"/>
              <w:rPr>
                <w:sz w:val="1"/>
                <w:szCs w:val="1"/>
                <w:color w:val="auto"/>
              </w:rPr>
            </w:pPr>
          </w:p>
        </w:tc>
        <w:tc>
          <w:tcPr>
            <w:tcW w:w="100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2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3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7"/>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kunnen extra kosten met betrekking tot de onderliggende</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7"/>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gridSpan w:val="2"/>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16"/>
        </w:trPr>
        <w:tc>
          <w:tcPr>
            <w:tcW w:w="534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termijncontract.</w:t>
            </w:r>
            <w:r>
              <w:rPr xmlns:w="http://schemas.openxmlformats.org/wordprocessingml/2006/main">
                <w:rFonts w:ascii="Calibri" w:cs="Calibri" w:eastAsia="Calibri" w:hAnsi="Calibri"/>
                <w:sz w:val="22"/>
                <w:szCs w:val="22"/>
                <w:color w:val="auto"/>
              </w:rPr>
              <w:t xml:space="preserve"> Afzonderlijk van de kosten van de belegger, OCC</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gridSpan w:val="2"/>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r>
        <w:trPr>
          <w:trHeight w:val="301"/>
        </w:trPr>
        <w:tc>
          <w:tcPr>
            <w:tcW w:w="9040" w:type="dxa"/>
            <w:vAlign w:val="bottom"/>
            <w:gridSpan w:val="10"/>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Kosten in verband met vergoedingen voor de clearing van dit product aan haar clearingleden, maar niet rechtstreeks aan u:</w:t>
            </w:r>
          </w:p>
        </w:tc>
        <w:tc>
          <w:tcPr>
            <w:tcW w:w="100" w:type="dxa"/>
            <w:vAlign w:val="bottom"/>
          </w:tcPr>
          <w:p>
            <w:pPr>
              <w:spacing w:after="0"/>
              <w:rPr>
                <w:sz w:val="24"/>
                <w:szCs w:val="24"/>
                <w:color w:val="auto"/>
              </w:rPr>
            </w:pPr>
          </w:p>
        </w:tc>
        <w:tc>
          <w:tcPr>
            <w:tcW w:w="14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5"/>
        </w:trPr>
        <w:tc>
          <w:tcPr>
            <w:tcW w:w="6880" w:type="dxa"/>
            <w:vAlign w:val="bottom"/>
            <w:gridSpan w:val="4"/>
          </w:tcPr>
          <w:p>
            <w:pPr xmlns:w="http://schemas.openxmlformats.org/wordprocessingml/2006/main">
              <w:spacing w:after="0" w:line="255" w:lineRule="exact"/>
              <w:rPr>
                <w:sz w:val="20"/>
                <w:szCs w:val="20"/>
                <w:color w:val="auto"/>
              </w:rPr>
            </w:pPr>
            <w:r>
              <w:rPr xmlns:w="http://schemas.openxmlformats.org/wordprocessingml/2006/main">
                <w:rFonts w:ascii="Calibri" w:cs="Calibri" w:eastAsia="Calibri" w:hAnsi="Calibri"/>
                <w:sz w:val="22"/>
                <w:szCs w:val="22"/>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tc>
        <w:tc>
          <w:tcPr>
            <w:tcW w:w="100" w:type="dxa"/>
            <w:vAlign w:val="bottom"/>
          </w:tcPr>
          <w:p>
            <w:pPr>
              <w:spacing w:after="0"/>
              <w:rPr>
                <w:sz w:val="22"/>
                <w:szCs w:val="22"/>
                <w:color w:val="auto"/>
              </w:rPr>
            </w:pPr>
          </w:p>
        </w:tc>
        <w:tc>
          <w:tcPr>
            <w:tcW w:w="220" w:type="dxa"/>
            <w:vAlign w:val="bottom"/>
          </w:tcPr>
          <w:p>
            <w:pPr>
              <w:spacing w:after="0"/>
              <w:rPr>
                <w:sz w:val="22"/>
                <w:szCs w:val="22"/>
                <w:color w:val="auto"/>
              </w:rPr>
            </w:pPr>
          </w:p>
        </w:tc>
        <w:tc>
          <w:tcPr>
            <w:tcW w:w="480" w:type="dxa"/>
            <w:vAlign w:val="bottom"/>
          </w:tcPr>
          <w:p>
            <w:pPr>
              <w:spacing w:after="0"/>
              <w:rPr>
                <w:sz w:val="22"/>
                <w:szCs w:val="22"/>
                <w:color w:val="auto"/>
              </w:rPr>
            </w:pPr>
          </w:p>
        </w:tc>
        <w:tc>
          <w:tcPr>
            <w:tcW w:w="960" w:type="dxa"/>
            <w:vAlign w:val="bottom"/>
          </w:tcPr>
          <w:p>
            <w:pPr>
              <w:spacing w:after="0"/>
              <w:rPr>
                <w:sz w:val="22"/>
                <w:szCs w:val="22"/>
                <w:color w:val="auto"/>
              </w:rPr>
            </w:pPr>
          </w:p>
        </w:tc>
        <w:tc>
          <w:tcPr>
            <w:tcW w:w="280" w:type="dxa"/>
            <w:vAlign w:val="bottom"/>
          </w:tcPr>
          <w:p>
            <w:pPr>
              <w:spacing w:after="0"/>
              <w:rPr>
                <w:sz w:val="22"/>
                <w:szCs w:val="22"/>
                <w:color w:val="auto"/>
              </w:rPr>
            </w:pPr>
          </w:p>
        </w:tc>
        <w:tc>
          <w:tcPr>
            <w:tcW w:w="1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44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20"/>
        </w:trPr>
        <w:tc>
          <w:tcPr>
            <w:tcW w:w="5340" w:type="dxa"/>
            <w:vAlign w:val="bottom"/>
            <w:tcBorders>
              <w:right w:val="single" w:sz="8" w:color="0563C1"/>
            </w:tcBorders>
            <w:shd w:val="clear" w:color="auto" w:fill="0563C1"/>
          </w:tcPr>
          <w:p>
            <w:pPr>
              <w:spacing w:after="0" w:line="20" w:lineRule="exact"/>
              <w:rPr>
                <w:sz w:val="1"/>
                <w:szCs w:val="1"/>
                <w:color w:val="auto"/>
              </w:rPr>
            </w:pPr>
          </w:p>
        </w:tc>
        <w:tc>
          <w:tcPr>
            <w:tcW w:w="100" w:type="dxa"/>
            <w:vAlign w:val="bottom"/>
            <w:shd w:val="clear" w:color="auto" w:fill="0563C1"/>
          </w:tcPr>
          <w:p>
            <w:pPr>
              <w:spacing w:after="0" w:line="20" w:lineRule="exact"/>
              <w:rPr>
                <w:sz w:val="1"/>
                <w:szCs w:val="1"/>
                <w:color w:val="auto"/>
              </w:rPr>
            </w:pPr>
          </w:p>
        </w:tc>
        <w:tc>
          <w:tcPr>
            <w:tcW w:w="440" w:type="dxa"/>
            <w:vAlign w:val="bottom"/>
            <w:shd w:val="clear" w:color="auto" w:fill="0563C1"/>
          </w:tcPr>
          <w:p>
            <w:pPr>
              <w:spacing w:after="0" w:line="20" w:lineRule="exact"/>
              <w:rPr>
                <w:sz w:val="1"/>
                <w:szCs w:val="1"/>
                <w:color w:val="auto"/>
              </w:rPr>
            </w:pPr>
          </w:p>
        </w:tc>
        <w:tc>
          <w:tcPr>
            <w:tcW w:w="10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9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4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9"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futures-optie uit te oefenen is een belangrijke beleggingsbeslissing voor een houder, net als de beslissing voor zowel optiehouders als schrijvers om een bestaande optiepositie te sluiten voordat de optie vervalt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futures-optiecontract(en) moeten uitoefenen of een bestaande positie moeten sluiten.</w:t>
      </w:r>
      <w:r>
        <w:rPr xmlns:w="http://schemas.openxmlformats.org/wordprocessingml/2006/main">
          <w:rFonts w:ascii="Calibri" w:cs="Calibri" w:eastAsia="Calibri" w:hAnsi="Calibri"/>
          <w:sz w:val="22"/>
          <w:szCs w:val="22"/>
          <w:color w:val="auto"/>
        </w:rPr>
        <w:t xml:space="preserve"> Beleggers die een bestaande futures-optiepositie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Ook kunnen beleggers een klacht indienen</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met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http://www.finra.org/investors/investor-complaint-</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centrum</w:t>
      </w:r>
      <w:r>
        <w:rPr xmlns:w="http://schemas.openxmlformats.org/wordprocessingml/2006/main">
          <w:rFonts w:ascii="Calibri" w:cs="Calibri" w:eastAsia="Calibri" w:hAnsi="Calibri"/>
          <w:sz w:val="22"/>
          <w:szCs w:val="22"/>
          <w:color w:val="000000"/>
        </w:rPr>
        <w:t xml:space="preserve">),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 de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4" w:lineRule="exact"/>
        <w:rPr>
          <w:sz w:val="20"/>
          <w:szCs w:val="20"/>
          <w:color w:val="auto"/>
        </w:rPr>
      </w:pPr>
    </w:p>
    <w:tbl>
      <w:tblPr>
        <w:tblLayout w:type="fixed"/>
        <w:tblInd w:w="320" w:type="dxa"/>
        <w:tblCellMar>
          <w:top w:w="0" w:type="dxa"/>
          <w:left w:w="0" w:type="dxa"/>
          <w:bottom w:w="0" w:type="dxa"/>
          <w:right w:w="0" w:type="dxa"/>
        </w:tblCellMar>
      </w:tblPr>
      <w:tr>
        <w:trPr>
          <w:trHeight w:val="244"/>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FINRA-beleggersklacht</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Amerikaanse Securities and Exchange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8"/>
              </w:rPr>
              <w:t xml:space="preserve">Amerikaanse grondstoffenfutures</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Centrum</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Commissie/Bureau van</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handelscommissie</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Investeerder en onderwijs</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pleitbezorging</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Telefoon: 312-781-1300</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(240) 386-HELP</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312 781 1467</w:t>
            </w: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tc>
      </w:tr>
      <w:tr>
        <w:trPr>
          <w:trHeight w:val="242"/>
        </w:trPr>
        <w:tc>
          <w:tcPr>
            <w:tcW w:w="236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Washington, DC 20549-0213</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Telefoon: 866-366-2382</w:t>
            </w:r>
          </w:p>
        </w:tc>
      </w:tr>
      <w:tr>
        <w:trPr>
          <w:trHeight w:val="245"/>
        </w:trPr>
        <w:tc>
          <w:tcPr>
            <w:tcW w:w="236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Fax (866)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Fax (202) 772-9295</w:t>
            </w:r>
          </w:p>
        </w:tc>
        <w:tc>
          <w:tcPr>
            <w:tcW w:w="2580" w:type="dxa"/>
            <w:vAlign w:val="bottom"/>
          </w:tcPr>
          <w:p>
            <w:pPr>
              <w:spacing w:after="0"/>
              <w:rPr>
                <w:sz w:val="21"/>
                <w:szCs w:val="21"/>
                <w:color w:val="auto"/>
              </w:rPr>
            </w:pPr>
          </w:p>
        </w:tc>
        <w:tc>
          <w:tcPr>
            <w:tcW w:w="210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202-418-5521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68580</wp:posOffset>
                </wp:positionH>
                <wp:positionV relativeFrom="paragraph">
                  <wp:posOffset>14605</wp:posOffset>
                </wp:positionV>
                <wp:extent cx="684784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pt,1.15pt" to="544.6pt,1.15pt" o:allowincell="f" strokecolor="#000000" strokeweight="0.48pt"/>
            </w:pict>
          </mc:Fallback>
        </mc:AlternateContent>
      </w:r>
    </w:p>
    <w:p>
      <w:pPr>
        <w:sectPr>
          <w:pgSz w:w="12240" w:h="15840" w:orient="portrait"/>
          <w:cols w:equalWidth="0" w:num="1">
            <w:col w:w="10780"/>
          </w:cols>
          <w:pgMar w:left="580" w:top="630" w:right="880" w:bottom="341" w:gutter="0" w:footer="0" w:header="0"/>
        </w:sectPr>
      </w:pP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1"/>
          <w:szCs w:val="21"/>
          <w:color w:val="auto"/>
        </w:rPr>
        <w:t xml:space="preserve">©2023 The Options Clearing Corporation.</w:t>
      </w:r>
      <w:r>
        <w:rPr xmlns:w="http://schemas.openxmlformats.org/wordprocessingml/2006/main">
          <w:rFonts w:ascii="Calibri" w:cs="Calibri" w:eastAsia="Calibri" w:hAnsi="Calibri"/>
          <w:sz w:val="21"/>
          <w:szCs w:val="21"/>
          <w:color w:val="auto"/>
        </w:rPr>
        <w:t xml:space="preserve"> Alle rechten voorbehouden.</w:t>
      </w:r>
    </w:p>
    <w:sectPr>
      <w:pgSz w:w="12240" w:h="15840" w:orient="portrait"/>
      <w:cols w:equalWidth="0" w:num="1">
        <w:col w:w="10780"/>
      </w:cols>
      <w:pgMar w:left="580" w:top="630" w:right="880" w:bottom="341"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1C6244FE"/>
    <w:multiLevelType w:val="hybridMultilevel"/>
    <w:lvl w:ilvl="0">
      <w:lvlJc w:val="left"/>
      <w:lvlText w:val="·"/>
      <w:numFmt w:val="bullet"/>
      <w:start w:val="1"/>
    </w:lvl>
  </w:abstractNum>
  <w:abstractNum w:abstractNumId="1">
    <w:nsid w:val="49685BE4"/>
    <w:multiLevelType w:val="hybridMultilevel"/>
    <w:lvl w:ilvl="0">
      <w:lvlJc w:val="left"/>
      <w:lvlText w:val="·"/>
      <w:numFmt w:val="bullet"/>
      <w:start w:val="1"/>
    </w:lvl>
  </w:abstractNum>
  <w:abstractNum w:abstractNumId="2">
    <w:nsid w:val="ACBC192"/>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2024-06-24T10:33:33Z</dcterms:created>
  <dcterms:modified xsi:type="dcterms:W3CDTF">2024-06-24T10:33:33Z</dcterms:modified>
</cp:coreProperties>
</file>