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98"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2971800</wp:posOffset>
            </wp:positionH>
            <wp:positionV relativeFrom="page">
              <wp:posOffset>170815</wp:posOffset>
            </wp:positionV>
            <wp:extent cx="1487170" cy="7969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87170" cy="796925"/>
                    </a:xfrm>
                    <a:prstGeom prst="rect">
                      <a:avLst/>
                    </a:prstGeom>
                    <a:noFill/>
                  </pic:spPr>
                </pic:pic>
              </a:graphicData>
            </a:graphic>
          </wp:anchor>
        </w:drawing>
      </w:r>
    </w:p>
    <w:p>
      <w:pPr xmlns:w="http://schemas.openxmlformats.org/wordprocessingml/2006/main">
        <w:jc w:val="center"/>
        <w:ind w:right="14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Belangrijke beleggersinformatie</w:t>
      </w:r>
    </w:p>
    <w:p>
      <w:pPr>
        <w:spacing w:after="0" w:line="8" w:lineRule="exact"/>
        <w:rPr>
          <w:sz w:val="24"/>
          <w:szCs w:val="24"/>
          <w:color w:val="auto"/>
        </w:rPr>
      </w:pPr>
    </w:p>
    <w:p>
      <w:pPr xmlns:w="http://schemas.openxmlformats.org/wordprocessingml/2006/main">
        <w:jc w:val="center"/>
        <w:ind w:left="120" w:right="260"/>
        <w:spacing w:after="0" w:line="237" w:lineRule="auto"/>
        <w:rPr>
          <w:sz w:val="20"/>
          <w:szCs w:val="20"/>
          <w:color w:val="auto"/>
        </w:rPr>
      </w:pPr>
      <w:r>
        <w:rPr xmlns:w="http://schemas.openxmlformats.org/wordprocessingml/2006/main">
          <w:rFonts w:ascii="Arial" w:cs="Arial" w:eastAsia="Arial" w:hAnsi="Arial"/>
          <w:sz w:val="15"/>
          <w:szCs w:val="15"/>
          <w:b w:val="1"/>
          <w:bCs w:val="1"/>
          <w:color w:val="auto"/>
        </w:rPr>
        <w:t xml:space="preserve">Dit document geeft u belangrijke beleggersinformatie over dit fonds.</w:t>
      </w:r>
      <w:r>
        <w:rPr xmlns:w="http://schemas.openxmlformats.org/wordprocessingml/2006/main">
          <w:rFonts w:ascii="Arial" w:cs="Arial" w:eastAsia="Arial" w:hAnsi="Arial"/>
          <w:sz w:val="15"/>
          <w:szCs w:val="15"/>
          <w:b w:val="1"/>
          <w:bCs w:val="1"/>
          <w:color w:val="auto"/>
        </w:rPr>
        <w:t xml:space="preserve"> Het is geen marketingmateriaal.</w:t>
      </w:r>
      <w:r>
        <w:rPr xmlns:w="http://schemas.openxmlformats.org/wordprocessingml/2006/main">
          <w:rFonts w:ascii="Arial" w:cs="Arial" w:eastAsia="Arial" w:hAnsi="Arial"/>
          <w:sz w:val="15"/>
          <w:szCs w:val="15"/>
          <w:b w:val="1"/>
          <w:bCs w:val="1"/>
          <w:color w:val="auto"/>
        </w:rPr>
        <w:t xml:space="preserve"> De informatie is wettelijk vereist om u te helpen de aard en de risico's van beleggen in dit fonds te begrijpen.</w:t>
      </w:r>
      <w:r>
        <w:rPr xmlns:w="http://schemas.openxmlformats.org/wordprocessingml/2006/main">
          <w:rFonts w:ascii="Arial" w:cs="Arial" w:eastAsia="Arial" w:hAnsi="Arial"/>
          <w:sz w:val="15"/>
          <w:szCs w:val="15"/>
          <w:b w:val="1"/>
          <w:bCs w:val="1"/>
          <w:color w:val="auto"/>
        </w:rPr>
        <w:t xml:space="preserve"> U wordt geadviseerd om het te lezen, zodat u een weloverwogen beslissing kunt nemen over het al dan niet beleggen.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71120</wp:posOffset>
            </wp:positionH>
            <wp:positionV relativeFrom="paragraph">
              <wp:posOffset>118745</wp:posOffset>
            </wp:positionV>
            <wp:extent cx="6009005" cy="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009005" cy="6350"/>
                    </a:xfrm>
                    <a:prstGeom prst="rect">
                      <a:avLst/>
                    </a:prstGeom>
                    <a:noFill/>
                  </pic:spPr>
                </pic:pic>
              </a:graphicData>
            </a:graphic>
          </wp:anchor>
        </w:drawing>
      </w:r>
    </w:p>
    <w:p>
      <w:pPr>
        <w:spacing w:after="0" w:line="176" w:lineRule="exact"/>
        <w:rPr>
          <w:sz w:val="24"/>
          <w:szCs w:val="24"/>
          <w:color w:val="auto"/>
        </w:rPr>
      </w:pPr>
    </w:p>
    <w:p>
      <w:pPr xmlns:w="http://schemas.openxmlformats.org/wordprocessingml/2006/main">
        <w:ind w:left="220"/>
        <w:spacing w:after="0"/>
        <w:tabs>
          <w:tab w:leader="none" w:pos="7940" w:val="left"/>
        </w:tabs>
        <w:rPr>
          <w:sz w:val="20"/>
          <w:szCs w:val="20"/>
          <w:color w:val="auto"/>
        </w:rPr>
      </w:pPr>
      <w:r>
        <w:rPr xmlns:w="http://schemas.openxmlformats.org/wordprocessingml/2006/main">
          <w:rFonts w:ascii="Arial" w:cs="Arial" w:eastAsia="Arial" w:hAnsi="Arial"/>
          <w:sz w:val="21"/>
          <w:szCs w:val="21"/>
          <w:b w:val="1"/>
          <w:bCs w:val="1"/>
          <w:color w:val="auto"/>
        </w:rPr>
        <w:t xml:space="preserve">Sport Uranium Miners UCITS ETF (het fonds) - Accumulerende ETF-aandelenklasse</w:t>
        <w:tab xmlns:w="http://schemas.openxmlformats.org/wordprocessingml/2006/main"/>
      </w:r>
      <w:r>
        <w:rPr xmlns:w="http://schemas.openxmlformats.org/wordprocessingml/2006/main">
          <w:rFonts w:ascii="Arial" w:cs="Arial" w:eastAsia="Arial" w:hAnsi="Arial"/>
          <w:sz w:val="16"/>
          <w:szCs w:val="16"/>
          <w:b w:val="1"/>
          <w:bCs w:val="1"/>
          <w:color w:val="auto"/>
        </w:rPr>
        <w:t xml:space="preserve">ISIN: IE0005YK6564</w:t>
      </w:r>
    </w:p>
    <w:p>
      <w:pPr>
        <w:spacing w:after="0" w:line="63" w:lineRule="exact"/>
        <w:rPr>
          <w:sz w:val="24"/>
          <w:szCs w:val="24"/>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9"/>
          <w:szCs w:val="19"/>
          <w:b w:val="1"/>
          <w:bCs w:val="1"/>
          <w:color w:val="auto"/>
        </w:rPr>
        <w:t xml:space="preserve">Een subfonds van HANetf ICAV.</w:t>
      </w:r>
      <w:r>
        <w:rPr xmlns:w="http://schemas.openxmlformats.org/wordprocessingml/2006/main">
          <w:rFonts w:ascii="Arial" w:cs="Arial" w:eastAsia="Arial" w:hAnsi="Arial"/>
          <w:sz w:val="19"/>
          <w:szCs w:val="19"/>
          <w:b w:val="1"/>
          <w:bCs w:val="1"/>
          <w:color w:val="auto"/>
        </w:rPr>
        <w:t xml:space="preserve"> Beheerd door HANetf Management Limited (de Manager)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6350</wp:posOffset>
            </wp:positionV>
            <wp:extent cx="6016625" cy="2482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016625" cy="248285"/>
                    </a:xfrm>
                    <a:prstGeom prst="rect">
                      <a:avLst/>
                    </a:prstGeom>
                    <a:noFill/>
                  </pic:spPr>
                </pic:pic>
              </a:graphicData>
            </a:graphic>
          </wp:anchor>
        </w:drawing>
      </w:r>
    </w:p>
    <w:p>
      <w:pPr>
        <w:spacing w:after="0" w:line="47" w:lineRule="exact"/>
        <w:rPr>
          <w:sz w:val="24"/>
          <w:szCs w:val="24"/>
          <w:color w:val="auto"/>
        </w:rPr>
      </w:pPr>
    </w:p>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23"/>
          <w:szCs w:val="23"/>
          <w:b w:val="1"/>
          <w:bCs w:val="1"/>
          <w:color w:val="auto"/>
        </w:rPr>
        <w:t xml:space="preserve">Doelstellingen en beleggingsbeleid</w:t>
      </w:r>
    </w:p>
    <w:p>
      <w:pPr>
        <w:sectPr>
          <w:pgSz w:w="12240" w:h="15840" w:orient="portrait"/>
          <w:cols w:equalWidth="0" w:num="1">
            <w:col w:w="9700"/>
          </w:cols>
          <w:pgMar w:left="1340" w:top="1440" w:right="1200" w:bottom="598" w:gutter="0" w:footer="0" w:header="0"/>
        </w:sectPr>
      </w:pPr>
    </w:p>
    <w:p>
      <w:pPr>
        <w:spacing w:after="0" w:line="334" w:lineRule="exact"/>
        <w:rPr>
          <w:sz w:val="24"/>
          <w:szCs w:val="24"/>
          <w:color w:val="auto"/>
        </w:rPr>
      </w:pPr>
    </w:p>
    <w:p>
      <w:pPr xmlns:w="http://schemas.openxmlformats.org/wordprocessingml/2006/main">
        <w:jc w:val="both"/>
        <w:ind w:left="120"/>
        <w:spacing w:after="0" w:line="253" w:lineRule="auto"/>
        <w:rPr>
          <w:sz w:val="20"/>
          <w:szCs w:val="20"/>
          <w:color w:val="auto"/>
        </w:rPr>
      </w:pPr>
      <w:r>
        <w:rPr xmlns:w="http://schemas.openxmlformats.org/wordprocessingml/2006/main">
          <w:rFonts w:ascii="Arial" w:cs="Arial" w:eastAsia="Arial" w:hAnsi="Arial"/>
          <w:sz w:val="17"/>
          <w:szCs w:val="17"/>
          <w:b w:val="1"/>
          <w:bCs w:val="1"/>
          <w:color w:val="auto"/>
        </w:rPr>
        <w:t xml:space="preserve">Het fonds streeft ernaar de prijs- en rendementsprestaties, vóór vergoedingen en uitgaven, van de North Shore Sport Uranium Miners Index (de Index) te volgen.</w:t>
      </w:r>
    </w:p>
    <w:p>
      <w:pPr>
        <w:spacing w:after="0" w:line="1" w:lineRule="exact"/>
        <w:rPr>
          <w:sz w:val="24"/>
          <w:szCs w:val="24"/>
          <w:color w:val="auto"/>
        </w:rPr>
      </w:pPr>
    </w:p>
    <w:p>
      <w:pPr xmlns:w="http://schemas.openxmlformats.org/wordprocessingml/2006/main">
        <w:jc w:val="both"/>
        <w:ind w:left="120"/>
        <w:spacing w:after="0" w:line="369" w:lineRule="auto"/>
        <w:rPr>
          <w:sz w:val="20"/>
          <w:szCs w:val="20"/>
          <w:color w:val="auto"/>
        </w:rPr>
      </w:pPr>
      <w:r>
        <w:rPr xmlns:w="http://schemas.openxmlformats.org/wordprocessingml/2006/main">
          <w:rFonts w:ascii="Arial" w:cs="Arial" w:eastAsia="Arial" w:hAnsi="Arial"/>
          <w:sz w:val="14"/>
          <w:szCs w:val="14"/>
          <w:b w:val="1"/>
          <w:bCs w:val="1"/>
          <w:color w:val="auto"/>
        </w:rPr>
        <w:t xml:space="preserve">Index: De index wordt beheerd door een gepubliceerde, op regels gebaseerde methodologie en is ontworpen om de prestaties te meten van een wereldwijd belegbaar universum van beursgenoteerde bedrijven die betrokken zijn bij de mijnbouw, exploratie, ontwikkeling en productie van uranium en / of fysieke uranium- en uraniumroyalty's houden.</w:t>
      </w:r>
    </w:p>
    <w:p>
      <w:pPr>
        <w:spacing w:after="0" w:line="1" w:lineRule="exact"/>
        <w:rPr>
          <w:sz w:val="24"/>
          <w:szCs w:val="24"/>
          <w:color w:val="auto"/>
        </w:rPr>
      </w:pPr>
    </w:p>
    <w:p>
      <w:pPr xmlns:w="http://schemas.openxmlformats.org/wordprocessingml/2006/main">
        <w:jc w:val="both"/>
        <w:ind w:left="120"/>
        <w:spacing w:after="0" w:line="264" w:lineRule="auto"/>
        <w:rPr>
          <w:sz w:val="20"/>
          <w:szCs w:val="20"/>
          <w:color w:val="auto"/>
        </w:rPr>
      </w:pPr>
      <w:r>
        <w:rPr xmlns:w="http://schemas.openxmlformats.org/wordprocessingml/2006/main">
          <w:rFonts w:ascii="Arial" w:cs="Arial" w:eastAsia="Arial" w:hAnsi="Arial"/>
          <w:sz w:val="17"/>
          <w:szCs w:val="17"/>
          <w:b w:val="1"/>
          <w:bCs w:val="1"/>
          <w:color w:val="auto"/>
        </w:rPr>
        <w:t xml:space="preserve">Toelaatbaarheid: Om in aanmerking te komen voor opname in de index, moeten de bestanddelen aan de volgende criteria voldoen:</w:t>
      </w:r>
    </w:p>
    <w:p>
      <w:pPr>
        <w:spacing w:after="0" w:line="22" w:lineRule="exact"/>
        <w:rPr>
          <w:sz w:val="24"/>
          <w:szCs w:val="24"/>
          <w:color w:val="auto"/>
        </w:rPr>
      </w:pPr>
    </w:p>
    <w:p>
      <w:pPr xmlns:w="http://schemas.openxmlformats.org/wordprocessingml/2006/main">
        <w:ind w:left="460"/>
        <w:spacing w:after="0" w:line="259" w:lineRule="auto"/>
        <w:rPr>
          <w:sz w:val="24"/>
          <w:szCs w:val="24"/>
          <w:color w:val="auto"/>
        </w:rPr>
      </w:pPr>
      <w:r>
        <w:rPr xmlns:w="http://schemas.openxmlformats.org/wordprocessingml/2006/main">
          <w:rFonts w:ascii="Arial" w:cs="Arial" w:eastAsia="Arial" w:hAnsi="Arial"/>
          <w:sz w:val="17"/>
          <w:szCs w:val="17"/>
          <w:b w:val="1"/>
          <w:bCs w:val="1"/>
          <w:color w:val="auto"/>
        </w:rPr>
        <w:t xml:space="preserve">genoteerd zijn op gereglementeerde markten zoals bekendgemaakt in appendix 1 van het Prospectus;</w:t>
      </w:r>
    </w:p>
    <w:p>
      <w:pPr xmlns:w="http://schemas.openxmlformats.org/wordprocessingml/2006/main">
        <w:ind w:left="460"/>
        <w:spacing w:after="0" w:line="255" w:lineRule="auto"/>
        <w:rPr>
          <w:sz w:val="24"/>
          <w:szCs w:val="24"/>
          <w:color w:val="auto"/>
        </w:rPr>
      </w:pPr>
      <w:r>
        <w:rPr xmlns:w="http://schemas.openxmlformats.org/wordprocessingml/2006/main">
          <w:rFonts w:ascii="Arial" w:cs="Arial" w:eastAsia="Arial" w:hAnsi="Arial"/>
          <w:sz w:val="17"/>
          <w:szCs w:val="17"/>
          <w:b w:val="1"/>
          <w:bCs w:val="1"/>
          <w:color w:val="auto"/>
        </w:rPr>
        <w:t xml:space="preserve">een aanzienlijk deel van haar bedrijfsactiviteiten in verband met de uraniumindustrie te hebben of te verwachten te hebben (met name uraniumwinning, uraniumexploratie, investeringen in fysiek uranium en technologieën in verband met de uraniumindustrie);</w:t>
      </w:r>
    </w:p>
    <w:p>
      <w:pPr xmlns:w="http://schemas.openxmlformats.org/wordprocessingml/2006/main">
        <w:ind w:left="460"/>
        <w:spacing w:after="0" w:line="259" w:lineRule="auto"/>
        <w:rPr>
          <w:sz w:val="24"/>
          <w:szCs w:val="24"/>
          <w:color w:val="auto"/>
        </w:rPr>
      </w:pPr>
      <w:r>
        <w:rPr xmlns:w="http://schemas.openxmlformats.org/wordprocessingml/2006/main">
          <w:rFonts w:ascii="Arial" w:cs="Arial" w:eastAsia="Arial" w:hAnsi="Arial"/>
          <w:sz w:val="17"/>
          <w:szCs w:val="17"/>
          <w:b w:val="1"/>
          <w:bCs w:val="1"/>
          <w:color w:val="auto"/>
        </w:rPr>
        <w:t xml:space="preserve">minimumvereisten inzake marktkapitalisatie en liquiditeit, zoals gespecificeerd in het supplement voor het fonds (het supplement).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63500</wp:posOffset>
            </wp:positionH>
            <wp:positionV relativeFrom="paragraph">
              <wp:posOffset>166370</wp:posOffset>
            </wp:positionV>
            <wp:extent cx="6013450" cy="2501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6013450" cy="25019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314" w:lineRule="exact"/>
        <w:rPr>
          <w:sz w:val="24"/>
          <w:szCs w:val="24"/>
          <w:color w:val="auto"/>
        </w:rPr>
      </w:pPr>
    </w:p>
    <w:p>
      <w:pPr xmlns:w="http://schemas.openxmlformats.org/wordprocessingml/2006/main">
        <w:jc w:val="both"/>
        <w:ind w:right="140"/>
        <w:spacing w:after="0" w:line="343" w:lineRule="auto"/>
        <w:rPr>
          <w:sz w:val="20"/>
          <w:szCs w:val="20"/>
          <w:color w:val="auto"/>
        </w:rPr>
      </w:pPr>
      <w:r>
        <w:rPr xmlns:w="http://schemas.openxmlformats.org/wordprocessingml/2006/main">
          <w:rFonts w:ascii="Arial" w:cs="Arial" w:eastAsia="Arial" w:hAnsi="Arial"/>
          <w:sz w:val="15"/>
          <w:szCs w:val="15"/>
          <w:b w:val="1"/>
          <w:bCs w:val="1"/>
          <w:color w:val="auto"/>
        </w:rPr>
        <w:t xml:space="preserve">De index wordt halfjaarlijks in maart en september opnieuw in evenwicht gebracht op basis van de bovenstaande subsidiabiliteitscriteria, waarbij het maximumgewicht van een zekerheid wordt beperkt tot 15%.</w:t>
      </w:r>
    </w:p>
    <w:p>
      <w:pPr>
        <w:spacing w:after="0" w:line="2" w:lineRule="exact"/>
        <w:rPr>
          <w:sz w:val="24"/>
          <w:szCs w:val="24"/>
          <w:color w:val="auto"/>
        </w:rPr>
      </w:pPr>
    </w:p>
    <w:p>
      <w:pPr xmlns:w="http://schemas.openxmlformats.org/wordprocessingml/2006/main">
        <w:jc w:val="both"/>
        <w:ind w:right="120"/>
        <w:spacing w:after="0" w:line="287" w:lineRule="auto"/>
        <w:rPr>
          <w:sz w:val="20"/>
          <w:szCs w:val="20"/>
          <w:color w:val="auto"/>
        </w:rPr>
      </w:pPr>
      <w:r>
        <w:rPr xmlns:w="http://schemas.openxmlformats.org/wordprocessingml/2006/main">
          <w:rFonts w:ascii="Arial" w:cs="Arial" w:eastAsia="Arial" w:hAnsi="Arial"/>
          <w:sz w:val="15"/>
          <w:szCs w:val="15"/>
          <w:b w:val="1"/>
          <w:bCs w:val="1"/>
          <w:color w:val="auto"/>
        </w:rPr>
        <w:t xml:space="preserve">Replicatie: Het Fonds zal een "passief beheer" (of indexering) beleggingsstrategie hanteren en zal trachten een replicatiemethodologie te gebruiken, wat betekent dat het, voor zover mogelijk en uitvoerbaar, zal beleggen in de aandeleneffecten van bedrijven in verhouding tot de wegingen die de Index vormen.</w:t>
      </w:r>
    </w:p>
    <w:p>
      <w:pPr>
        <w:spacing w:after="0" w:line="3" w:lineRule="exact"/>
        <w:rPr>
          <w:sz w:val="24"/>
          <w:szCs w:val="24"/>
          <w:color w:val="auto"/>
        </w:rPr>
      </w:pPr>
    </w:p>
    <w:p>
      <w:pPr xmlns:w="http://schemas.openxmlformats.org/wordprocessingml/2006/main">
        <w:jc w:val="both"/>
        <w:ind w:right="120"/>
        <w:spacing w:after="0" w:line="287" w:lineRule="auto"/>
        <w:rPr>
          <w:sz w:val="20"/>
          <w:szCs w:val="20"/>
          <w:color w:val="auto"/>
        </w:rPr>
      </w:pPr>
      <w:r>
        <w:rPr xmlns:w="http://schemas.openxmlformats.org/wordprocessingml/2006/main">
          <w:rFonts w:ascii="Arial" w:cs="Arial" w:eastAsia="Arial" w:hAnsi="Arial"/>
          <w:sz w:val="15"/>
          <w:szCs w:val="15"/>
          <w:b w:val="1"/>
          <w:bCs w:val="1"/>
          <w:color w:val="auto"/>
        </w:rPr>
        <w:t xml:space="preserve">Handelen: Aandelen van het Fonds (Aandelen) zijn genoteerd aan een of meer beurzen.</w:t>
      </w:r>
      <w:r>
        <w:rPr xmlns:w="http://schemas.openxmlformats.org/wordprocessingml/2006/main">
          <w:rFonts w:ascii="Arial" w:cs="Arial" w:eastAsia="Arial" w:hAnsi="Arial"/>
          <w:sz w:val="15"/>
          <w:szCs w:val="15"/>
          <w:b w:val="1"/>
          <w:bCs w:val="1"/>
          <w:color w:val="auto"/>
        </w:rPr>
        <w:t xml:space="preserve"> Doorgaans kunnen alleen geautoriseerde deelnemers (d.w.z. makelaars) aandelen kopen van of aandelen verkopen aan het fonds.</w:t>
      </w:r>
      <w:r>
        <w:rPr xmlns:w="http://schemas.openxmlformats.org/wordprocessingml/2006/main">
          <w:rFonts w:ascii="Arial" w:cs="Arial" w:eastAsia="Arial" w:hAnsi="Arial"/>
          <w:sz w:val="15"/>
          <w:szCs w:val="15"/>
          <w:b w:val="1"/>
          <w:bCs w:val="1"/>
          <w:color w:val="auto"/>
        </w:rPr>
        <w:t xml:space="preserve"> Andere beleggers kunnen aandelen kopen en verkopen op de beurs op elke dag dat de relevante beurs open is.</w:t>
      </w:r>
    </w:p>
    <w:p>
      <w:pPr>
        <w:spacing w:after="0" w:line="1" w:lineRule="exact"/>
        <w:rPr>
          <w:sz w:val="24"/>
          <w:szCs w:val="24"/>
          <w:color w:val="auto"/>
        </w:rPr>
      </w:pPr>
    </w:p>
    <w:p>
      <w:pPr xmlns:w="http://schemas.openxmlformats.org/wordprocessingml/2006/main">
        <w:jc w:val="both"/>
        <w:ind w:right="140"/>
        <w:spacing w:after="0" w:line="287" w:lineRule="auto"/>
        <w:rPr>
          <w:sz w:val="20"/>
          <w:szCs w:val="20"/>
          <w:color w:val="auto"/>
        </w:rPr>
      </w:pPr>
      <w:r>
        <w:rPr xmlns:w="http://schemas.openxmlformats.org/wordprocessingml/2006/main">
          <w:rFonts w:ascii="Arial" w:cs="Arial" w:eastAsia="Arial" w:hAnsi="Arial"/>
          <w:sz w:val="15"/>
          <w:szCs w:val="15"/>
          <w:b w:val="1"/>
          <w:bCs w:val="1"/>
          <w:color w:val="auto"/>
        </w:rPr>
        <w:t xml:space="preserve">Verdelingsbeleid: Inkomsten ontvangen door de beleggingen van het Fonds worden niet verdeeld met betrekking tot de Aandelen van deze klasse en in plaats daarvan worden inkomsten geaccumuleerd en herbelegd namens de aandeelhouders van het Fonds.</w:t>
      </w:r>
    </w:p>
    <w:p>
      <w:pPr>
        <w:spacing w:after="0" w:line="1" w:lineRule="exact"/>
        <w:rPr>
          <w:sz w:val="24"/>
          <w:szCs w:val="24"/>
          <w:color w:val="auto"/>
        </w:rPr>
      </w:pPr>
    </w:p>
    <w:p>
      <w:pPr xmlns:w="http://schemas.openxmlformats.org/wordprocessingml/2006/main">
        <w:jc w:val="both"/>
        <w:ind w:right="140"/>
        <w:spacing w:after="0" w:line="253" w:lineRule="auto"/>
        <w:rPr>
          <w:sz w:val="20"/>
          <w:szCs w:val="20"/>
          <w:color w:val="auto"/>
        </w:rPr>
      </w:pPr>
      <w:r>
        <w:rPr xmlns:w="http://schemas.openxmlformats.org/wordprocessingml/2006/main">
          <w:rFonts w:ascii="Arial" w:cs="Arial" w:eastAsia="Arial" w:hAnsi="Arial"/>
          <w:sz w:val="17"/>
          <w:szCs w:val="17"/>
          <w:b w:val="1"/>
          <w:bCs w:val="1"/>
          <w:color w:val="auto"/>
        </w:rPr>
        <w:t xml:space="preserve">Aanbeveling: Dit Fonds is mogelijk niet geschikt voor kortetermijninvesteringen.</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Valuta: De basisvaluta van het Fonds is US Dollar.</w:t>
      </w:r>
    </w:p>
    <w:p>
      <w:pPr>
        <w:spacing w:after="0" w:line="13" w:lineRule="exact"/>
        <w:rPr>
          <w:sz w:val="24"/>
          <w:szCs w:val="24"/>
          <w:color w:val="auto"/>
        </w:rPr>
      </w:pPr>
    </w:p>
    <w:p>
      <w:pPr xmlns:w="http://schemas.openxmlformats.org/wordprocessingml/2006/main">
        <w:jc w:val="both"/>
        <w:ind w:right="140"/>
        <w:spacing w:after="0" w:line="261" w:lineRule="auto"/>
        <w:rPr>
          <w:sz w:val="20"/>
          <w:szCs w:val="20"/>
          <w:color w:val="auto"/>
        </w:rPr>
      </w:pPr>
      <w:r>
        <w:rPr xmlns:w="http://schemas.openxmlformats.org/wordprocessingml/2006/main">
          <w:rFonts w:ascii="Arial" w:cs="Arial" w:eastAsia="Arial" w:hAnsi="Arial"/>
          <w:sz w:val="17"/>
          <w:szCs w:val="17"/>
          <w:b w:val="1"/>
          <w:bCs w:val="1"/>
          <w:color w:val="auto"/>
        </w:rPr>
        <w:t xml:space="preserve">Voor volledige beleggingsdoelstellingen en beleidsdetails, raadpleegt u het supplement.</w:t>
      </w:r>
    </w:p>
    <w:p>
      <w:pPr>
        <w:spacing w:after="0" w:line="44" w:lineRule="exact"/>
        <w:rPr>
          <w:sz w:val="24"/>
          <w:szCs w:val="24"/>
          <w:color w:val="auto"/>
        </w:rPr>
      </w:pPr>
    </w:p>
    <w:p>
      <w:pPr>
        <w:sectPr>
          <w:pgSz w:w="12240" w:h="15840" w:orient="portrait"/>
          <w:cols w:equalWidth="0" w:num="2">
            <w:col w:w="4580" w:space="520"/>
            <w:col w:w="4600"/>
          </w:cols>
          <w:pgMar w:left="1340" w:top="1440" w:right="1200" w:bottom="598" w:gutter="0" w:footer="0" w:header="0"/>
          <w:type w:val="continuous"/>
        </w:sectPr>
      </w:pPr>
    </w:p>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23"/>
          <w:szCs w:val="23"/>
          <w:b w:val="1"/>
          <w:bCs w:val="1"/>
          <w:color w:val="auto"/>
        </w:rPr>
        <w:t xml:space="preserve">Risico- en beloningsprofiel</w:t>
      </w:r>
    </w:p>
    <w:p>
      <w:pPr>
        <w:spacing w:after="0" w:line="346" w:lineRule="exact"/>
        <w:rPr>
          <w:sz w:val="24"/>
          <w:szCs w:val="24"/>
          <w:color w:val="auto"/>
        </w:rPr>
      </w:pPr>
    </w:p>
    <w:tbl>
      <w:tblPr>
        <w:tblLayout w:type="fixed"/>
        <w:tblInd w:w="0" w:type="dxa"/>
        <w:tblCellMar>
          <w:top w:w="0" w:type="dxa"/>
          <w:left w:w="0" w:type="dxa"/>
          <w:bottom w:w="0" w:type="dxa"/>
          <w:right w:w="0" w:type="dxa"/>
        </w:tblCellMar>
      </w:tblPr>
      <w:tr>
        <w:trPr>
          <w:trHeight w:val="205"/>
        </w:trPr>
        <w:tc>
          <w:tcPr>
            <w:tcW w:w="8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w w:val="91"/>
              </w:rPr>
              <w:t xml:space="preserve">Minder risico</w:t>
            </w:r>
          </w:p>
        </w:tc>
        <w:tc>
          <w:tcPr>
            <w:tcW w:w="420" w:type="dxa"/>
            <w:vAlign w:val="bottom"/>
          </w:tcPr>
          <w:p>
            <w:pPr>
              <w:spacing w:after="0"/>
              <w:rPr>
                <w:sz w:val="17"/>
                <w:szCs w:val="17"/>
                <w:color w:val="auto"/>
              </w:rPr>
            </w:pPr>
          </w:p>
        </w:tc>
        <w:tc>
          <w:tcPr>
            <w:tcW w:w="64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60" w:type="dxa"/>
            <w:vAlign w:val="bottom"/>
          </w:tcPr>
          <w:p>
            <w:pPr>
              <w:spacing w:after="0"/>
              <w:rPr>
                <w:sz w:val="17"/>
                <w:szCs w:val="17"/>
                <w:color w:val="auto"/>
              </w:rPr>
            </w:pPr>
          </w:p>
        </w:tc>
        <w:tc>
          <w:tcPr>
            <w:tcW w:w="440" w:type="dxa"/>
            <w:vAlign w:val="bottom"/>
          </w:tcPr>
          <w:p>
            <w:pPr>
              <w:spacing w:after="0"/>
              <w:rPr>
                <w:sz w:val="17"/>
                <w:szCs w:val="17"/>
                <w:color w:val="auto"/>
              </w:rPr>
            </w:pP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7"/>
                <w:szCs w:val="17"/>
                <w:b w:val="1"/>
                <w:bCs w:val="1"/>
                <w:color w:val="auto"/>
                <w:w w:val="87"/>
              </w:rPr>
              <w:t xml:space="preserve">Hoger risico</w:t>
            </w:r>
          </w:p>
        </w:tc>
      </w:tr>
      <w:tr>
        <w:trPr>
          <w:trHeight w:val="206"/>
        </w:trPr>
        <w:tc>
          <w:tcPr>
            <w:tcW w:w="1860" w:type="dxa"/>
            <w:vAlign w:val="bottom"/>
            <w:gridSpan w:val="3"/>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w w:val="95"/>
              </w:rPr>
              <w:t xml:space="preserve">Typisch lagere beloningen</w:t>
            </w:r>
          </w:p>
        </w:tc>
        <w:tc>
          <w:tcPr>
            <w:tcW w:w="600" w:type="dxa"/>
            <w:vAlign w:val="bottom"/>
          </w:tcPr>
          <w:p>
            <w:pPr>
              <w:spacing w:after="0"/>
              <w:rPr>
                <w:sz w:val="17"/>
                <w:szCs w:val="17"/>
                <w:color w:val="auto"/>
              </w:rPr>
            </w:pPr>
          </w:p>
        </w:tc>
        <w:tc>
          <w:tcPr>
            <w:tcW w:w="19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7"/>
                <w:szCs w:val="17"/>
                <w:b w:val="1"/>
                <w:bCs w:val="1"/>
                <w:color w:val="auto"/>
                <w:w w:val="94"/>
              </w:rPr>
              <w:t xml:space="preserve">Doorgaans hogere beloningen</w:t>
            </w:r>
          </w:p>
        </w:tc>
      </w:tr>
      <w:tr>
        <w:trPr>
          <w:trHeight w:val="487"/>
        </w:trPr>
        <w:tc>
          <w:tcPr>
            <w:tcW w:w="800" w:type="dxa"/>
            <w:vAlign w:val="bottom"/>
          </w:tcPr>
          <w:p>
            <w:pPr xmlns:w="http://schemas.openxmlformats.org/wordprocessingml/2006/main">
              <w:jc w:val="right"/>
              <w:ind w:right="396"/>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1</w:t>
            </w:r>
          </w:p>
        </w:tc>
        <w:tc>
          <w:tcPr>
            <w:tcW w:w="420" w:type="dxa"/>
            <w:vAlign w:val="bottom"/>
          </w:tcPr>
          <w:p>
            <w:pPr xmlns:w="http://schemas.openxmlformats.org/wordprocessingml/2006/main">
              <w:jc w:val="right"/>
              <w:ind w:right="176"/>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2</w:t>
            </w:r>
          </w:p>
        </w:tc>
        <w:tc>
          <w:tcPr>
            <w:tcW w:w="640" w:type="dxa"/>
            <w:vAlign w:val="bottom"/>
          </w:tcPr>
          <w:p>
            <w:pPr xmlns:w="http://schemas.openxmlformats.org/wordprocessingml/2006/main">
              <w:jc w:val="right"/>
              <w:ind w:right="196"/>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3</w:t>
            </w:r>
          </w:p>
        </w:tc>
        <w:tc>
          <w:tcPr>
            <w:tcW w:w="600" w:type="dxa"/>
            <w:vAlign w:val="bottom"/>
          </w:tcPr>
          <w:p>
            <w:pPr xmlns:w="http://schemas.openxmlformats.org/wordprocessingml/2006/main">
              <w:jc w:val="right"/>
              <w:ind w:right="156"/>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4</w:t>
            </w:r>
          </w:p>
        </w:tc>
        <w:tc>
          <w:tcPr>
            <w:tcW w:w="660" w:type="dxa"/>
            <w:vAlign w:val="bottom"/>
          </w:tcPr>
          <w:p>
            <w:pPr xmlns:w="http://schemas.openxmlformats.org/wordprocessingml/2006/main">
              <w:jc w:val="right"/>
              <w:ind w:right="176"/>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5</w:t>
            </w:r>
          </w:p>
        </w:tc>
        <w:tc>
          <w:tcPr>
            <w:tcW w:w="44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6</w:t>
            </w:r>
          </w:p>
        </w:tc>
        <w:tc>
          <w:tcPr>
            <w:tcW w:w="820" w:type="dxa"/>
            <w:vAlign w:val="bottom"/>
          </w:tcPr>
          <w:p>
            <w:pPr xmlns:w="http://schemas.openxmlformats.org/wordprocessingml/2006/main">
              <w:jc w:val="right"/>
              <w:ind w:right="156"/>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7</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-22860</wp:posOffset>
            </wp:positionH>
            <wp:positionV relativeFrom="paragraph">
              <wp:posOffset>-137160</wp:posOffset>
            </wp:positionV>
            <wp:extent cx="2818130" cy="15113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2818130" cy="151130"/>
                    </a:xfrm>
                    <a:prstGeom prst="rect">
                      <a:avLst/>
                    </a:prstGeom>
                    <a:noFill/>
                  </pic:spPr>
                </pic:pic>
              </a:graphicData>
            </a:graphic>
          </wp:anchor>
        </w:drawing>
        <w:drawing>
          <wp:anchor simplePos="0" relativeHeight="251657728" behindDoc="1" locked="0" layoutInCell="0" allowOverlap="1">
            <wp:simplePos x="0" y="0"/>
            <wp:positionH relativeFrom="column">
              <wp:posOffset>-7620</wp:posOffset>
            </wp:positionH>
            <wp:positionV relativeFrom="paragraph">
              <wp:posOffset>-280035</wp:posOffset>
            </wp:positionV>
            <wp:extent cx="2784475" cy="717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2784475" cy="71755"/>
                    </a:xfrm>
                    <a:prstGeom prst="rect">
                      <a:avLst/>
                    </a:prstGeom>
                    <a:noFill/>
                  </pic:spPr>
                </pic:pic>
              </a:graphicData>
            </a:graphic>
          </wp:anchor>
        </w:drawing>
      </w:r>
    </w:p>
    <w:p>
      <w:pPr>
        <w:spacing w:after="0" w:line="1" w:lineRule="exact"/>
        <w:rPr>
          <w:sz w:val="24"/>
          <w:szCs w:val="24"/>
          <w:color w:val="auto"/>
        </w:rPr>
      </w:pPr>
    </w:p>
    <w:p>
      <w:pPr xmlns:w="http://schemas.openxmlformats.org/wordprocessingml/2006/main">
        <w:ind w:left="120" w:right="360"/>
        <w:spacing w:after="0" w:line="253" w:lineRule="auto"/>
        <w:rPr>
          <w:sz w:val="20"/>
          <w:szCs w:val="20"/>
          <w:color w:val="auto"/>
        </w:rPr>
      </w:pPr>
      <w:r>
        <w:rPr xmlns:w="http://schemas.openxmlformats.org/wordprocessingml/2006/main">
          <w:rFonts w:ascii="Arial" w:cs="Arial" w:eastAsia="Arial" w:hAnsi="Arial"/>
          <w:sz w:val="17"/>
          <w:szCs w:val="17"/>
          <w:b w:val="1"/>
          <w:bCs w:val="1"/>
          <w:color w:val="auto"/>
        </w:rPr>
        <w:t xml:space="preserve">De bovenstaande indeling blijft niet gegarandeerd ongewijzigd en kan in de loop van de tijd veranderen.</w:t>
      </w:r>
    </w:p>
    <w:p>
      <w:pPr>
        <w:spacing w:after="0" w:line="1" w:lineRule="exact"/>
        <w:rPr>
          <w:sz w:val="24"/>
          <w:szCs w:val="24"/>
          <w:color w:val="auto"/>
        </w:rPr>
      </w:pPr>
    </w:p>
    <w:p>
      <w:pPr xmlns:w="http://schemas.openxmlformats.org/wordprocessingml/2006/main">
        <w:ind w:left="120" w:right="360"/>
        <w:spacing w:after="0" w:line="270" w:lineRule="auto"/>
        <w:rPr>
          <w:sz w:val="20"/>
          <w:szCs w:val="20"/>
          <w:color w:val="auto"/>
        </w:rPr>
      </w:pPr>
      <w:r>
        <w:rPr xmlns:w="http://schemas.openxmlformats.org/wordprocessingml/2006/main">
          <w:rFonts w:ascii="Arial" w:cs="Arial" w:eastAsia="Arial" w:hAnsi="Arial"/>
          <w:sz w:val="16"/>
          <w:szCs w:val="16"/>
          <w:b w:val="1"/>
          <w:bCs w:val="1"/>
          <w:color w:val="auto"/>
        </w:rPr>
        <w:t xml:space="preserve">De laagste categorie (1) houdt geen risicovrije belegging in.</w:t>
      </w:r>
      <w:r>
        <w:rPr xmlns:w="http://schemas.openxmlformats.org/wordprocessingml/2006/main">
          <w:rFonts w:ascii="Arial" w:cs="Arial" w:eastAsia="Arial" w:hAnsi="Arial"/>
          <w:sz w:val="16"/>
          <w:szCs w:val="16"/>
          <w:b w:val="1"/>
          <w:bCs w:val="1"/>
          <w:color w:val="auto"/>
        </w:rPr>
        <w:t xml:space="preserve"> De risico-indicator is berekend op basis van gesimuleerde historische gegevens en is mogelijk geen betrouwbare indicatie van het toekomstige risicoprofiel van het Fonds.</w:t>
      </w:r>
    </w:p>
    <w:p>
      <w:pPr xmlns:w="http://schemas.openxmlformats.org/wordprocessingml/2006/main">
        <w:jc w:val="both"/>
        <w:ind w:left="120" w:right="360"/>
        <w:spacing w:after="0" w:line="257" w:lineRule="auto"/>
        <w:rPr>
          <w:sz w:val="20"/>
          <w:szCs w:val="20"/>
          <w:color w:val="auto"/>
        </w:rPr>
      </w:pPr>
      <w:r>
        <w:rPr xmlns:w="http://schemas.openxmlformats.org/wordprocessingml/2006/main">
          <w:rFonts w:ascii="Arial" w:cs="Arial" w:eastAsia="Arial" w:hAnsi="Arial"/>
          <w:sz w:val="17"/>
          <w:szCs w:val="17"/>
          <w:b w:val="1"/>
          <w:bCs w:val="1"/>
          <w:color w:val="auto"/>
        </w:rPr>
        <w:t xml:space="preserve">De bovenstaande indeling (7) is het gevolg van de aard van de beleggingen van het Fonds en het aan die beleggingen verbonden risico, waaronder:</w:t>
      </w:r>
    </w:p>
    <w:p>
      <w:pPr>
        <w:spacing w:after="0" w:line="27" w:lineRule="exact"/>
        <w:rPr>
          <w:sz w:val="24"/>
          <w:szCs w:val="24"/>
          <w:color w:val="auto"/>
        </w:rPr>
      </w:pPr>
    </w:p>
    <w:p>
      <w:pPr xmlns:w="http://schemas.openxmlformats.org/wordprocessingml/2006/main">
        <w:ind w:left="380" w:right="360"/>
        <w:spacing w:after="0" w:line="278" w:lineRule="auto"/>
        <w:rPr>
          <w:sz w:val="24"/>
          <w:szCs w:val="24"/>
          <w:color w:val="auto"/>
        </w:rPr>
      </w:pPr>
      <w:r>
        <w:rPr xmlns:w="http://schemas.openxmlformats.org/wordprocessingml/2006/main">
          <w:rFonts w:ascii="Arial" w:cs="Arial" w:eastAsia="Arial" w:hAnsi="Arial"/>
          <w:sz w:val="16"/>
          <w:szCs w:val="16"/>
          <w:b w:val="1"/>
          <w:bCs w:val="1"/>
          <w:color w:val="auto"/>
        </w:rPr>
        <w:t xml:space="preserve">De waarde van onderliggende effecten kan worden beïnvloed door dagelijkse bewegingen op de financiële markten.</w:t>
      </w:r>
      <w:r>
        <w:rPr xmlns:w="http://schemas.openxmlformats.org/wordprocessingml/2006/main">
          <w:rFonts w:ascii="Arial" w:cs="Arial" w:eastAsia="Arial" w:hAnsi="Arial"/>
          <w:sz w:val="16"/>
          <w:szCs w:val="16"/>
          <w:b w:val="1"/>
          <w:bCs w:val="1"/>
          <w:color w:val="auto"/>
        </w:rPr>
        <w:t xml:space="preserve"> Andere invloedrijke factoren zijn politiek, economisch nieuws, bedrijfswinsten en belangrijke bedrijfsevenementen.</w:t>
      </w:r>
    </w:p>
    <w:p>
      <w:pPr>
        <w:spacing w:after="0" w:line="11" w:lineRule="exact"/>
        <w:rPr>
          <w:sz w:val="24"/>
          <w:szCs w:val="24"/>
          <w:color w:val="auto"/>
        </w:rPr>
      </w:pPr>
    </w:p>
    <w:p>
      <w:pPr xmlns:w="http://schemas.openxmlformats.org/wordprocessingml/2006/main">
        <w:ind w:left="380" w:right="360"/>
        <w:spacing w:after="0" w:line="257" w:lineRule="auto"/>
        <w:rPr>
          <w:sz w:val="24"/>
          <w:szCs w:val="24"/>
          <w:color w:val="auto"/>
        </w:rPr>
      </w:pPr>
      <w:r>
        <w:rPr xmlns:w="http://schemas.openxmlformats.org/wordprocessingml/2006/main">
          <w:rFonts w:ascii="Arial" w:cs="Arial" w:eastAsia="Arial" w:hAnsi="Arial"/>
          <w:sz w:val="17"/>
          <w:szCs w:val="17"/>
          <w:b w:val="1"/>
          <w:bCs w:val="1"/>
          <w:color w:val="auto"/>
        </w:rPr>
        <w:t xml:space="preserve">Er is geen zekerheid dat de waarde van de investeringen zal stijgen of dat de investeringsdoelstelling van het Fonds zal worden bereikt.</w:t>
      </w:r>
    </w:p>
    <w:p>
      <w:pPr>
        <w:spacing w:after="0" w:line="29" w:lineRule="exact"/>
        <w:rPr>
          <w:sz w:val="24"/>
          <w:szCs w:val="24"/>
          <w:color w:val="auto"/>
        </w:rPr>
      </w:pPr>
    </w:p>
    <w:p>
      <w:pPr xmlns:w="http://schemas.openxmlformats.org/wordprocessingml/2006/main">
        <w:jc w:val="right"/>
        <w:ind w:left="380" w:right="360"/>
        <w:spacing w:after="0" w:line="320" w:lineRule="auto"/>
        <w:rPr>
          <w:sz w:val="24"/>
          <w:szCs w:val="24"/>
          <w:color w:val="auto"/>
        </w:rPr>
      </w:pPr>
      <w:r>
        <w:rPr xmlns:w="http://schemas.openxmlformats.org/wordprocessingml/2006/main">
          <w:rFonts w:ascii="Arial" w:cs="Arial" w:eastAsia="Arial" w:hAnsi="Arial"/>
          <w:sz w:val="14"/>
          <w:szCs w:val="14"/>
          <w:b w:val="1"/>
          <w:bCs w:val="1"/>
          <w:color w:val="auto"/>
        </w:rPr>
        <w:t xml:space="preserve">Risico voor de energiesector: bedrijven in energiegerelateerde industrieën kunnen aanzienlijk worden beïnvloed door schommelingen in de energieprijzen en vraag en aanbod van energiebrandstoffen.</w:t>
      </w:r>
      <w:r>
        <w:rPr xmlns:w="http://schemas.openxmlformats.org/wordprocessingml/2006/main">
          <w:rFonts w:ascii="Arial" w:cs="Arial" w:eastAsia="Arial" w:hAnsi="Arial"/>
          <w:sz w:val="14"/>
          <w:szCs w:val="14"/>
          <w:b w:val="1"/>
          <w:bCs w:val="1"/>
          <w:color w:val="auto"/>
        </w:rPr>
        <w:t xml:space="preserve"> Markten voor verschillende energiegerelateerde grondstoffen kunnen een aanzienlijke volatiliteit hebben en zijn onderworpen aan controle of manipulatie door grote producenten of kopers.</w:t>
      </w:r>
      <w:r>
        <w:rPr xmlns:w="http://schemas.openxmlformats.org/wordprocessingml/2006/main">
          <w:rFonts w:ascii="Arial" w:cs="Arial" w:eastAsia="Arial" w:hAnsi="Arial"/>
          <w:sz w:val="14"/>
          <w:szCs w:val="14"/>
          <w:b w:val="1"/>
          <w:bCs w:val="1"/>
          <w:color w:val="auto"/>
        </w:rPr>
        <w:t xml:space="preserve"> De energiesector moet</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91" w:lineRule="exact"/>
        <w:rPr>
          <w:sz w:val="24"/>
          <w:szCs w:val="24"/>
          <w:color w:val="auto"/>
        </w:rPr>
      </w:pPr>
    </w:p>
    <w:p>
      <w:pPr xmlns:w="http://schemas.openxmlformats.org/wordprocessingml/2006/main">
        <w:spacing w:after="0" w:line="334" w:lineRule="auto"/>
        <w:rPr>
          <w:sz w:val="20"/>
          <w:szCs w:val="20"/>
          <w:color w:val="auto"/>
        </w:rPr>
      </w:pPr>
      <w:r>
        <w:rPr xmlns:w="http://schemas.openxmlformats.org/wordprocessingml/2006/main">
          <w:rFonts w:ascii="Arial" w:cs="Arial" w:eastAsia="Arial" w:hAnsi="Arial"/>
          <w:sz w:val="14"/>
          <w:szCs w:val="14"/>
          <w:b w:val="1"/>
          <w:bCs w:val="1"/>
          <w:color w:val="auto"/>
        </w:rPr>
        <w:t xml:space="preserve">aanzienlijke investeringen doen of aanzienlijke schulden aangaan om hun reserves te handhaven of uit te breiden."</w:t>
      </w:r>
    </w:p>
    <w:p>
      <w:pPr>
        <w:spacing w:after="0" w:line="1" w:lineRule="exact"/>
        <w:rPr>
          <w:sz w:val="24"/>
          <w:szCs w:val="24"/>
          <w:color w:val="auto"/>
        </w:rPr>
      </w:pPr>
    </w:p>
    <w:p>
      <w:pPr xmlns:w="http://schemas.openxmlformats.org/wordprocessingml/2006/main">
        <w:spacing w:after="0" w:line="294" w:lineRule="auto"/>
        <w:rPr>
          <w:sz w:val="24"/>
          <w:szCs w:val="24"/>
          <w:color w:val="auto"/>
        </w:rPr>
      </w:pPr>
      <w:r>
        <w:rPr xmlns:w="http://schemas.openxmlformats.org/wordprocessingml/2006/main">
          <w:rFonts w:ascii="Arial" w:cs="Arial" w:eastAsia="Arial" w:hAnsi="Arial"/>
          <w:sz w:val="15"/>
          <w:szCs w:val="15"/>
          <w:b w:val="1"/>
          <w:bCs w:val="1"/>
          <w:color w:val="auto"/>
        </w:rPr>
        <w:t xml:space="preserve">Uraniumbedrijven Risico: Uraniumbedrijven kunnen aanzienlijk onderhevig zijn aan de effecten van concurrentiedruk en de prijs van uranium.</w:t>
      </w:r>
      <w:r>
        <w:rPr xmlns:w="http://schemas.openxmlformats.org/wordprocessingml/2006/main">
          <w:rFonts w:ascii="Arial" w:cs="Arial" w:eastAsia="Arial" w:hAnsi="Arial"/>
          <w:sz w:val="15"/>
          <w:szCs w:val="15"/>
          <w:b w:val="1"/>
          <w:bCs w:val="1"/>
          <w:color w:val="auto"/>
        </w:rPr>
        <w:t xml:space="preserve"> De uraniumprijs kan worden beïnvloed door veranderingen in de inflatie, de rente, het monetaire beleid, de economische omstandigheden en de politieke stabiliteit.</w:t>
      </w:r>
      <w:r>
        <w:rPr xmlns:w="http://schemas.openxmlformats.org/wordprocessingml/2006/main">
          <w:rFonts w:ascii="Arial" w:cs="Arial" w:eastAsia="Arial" w:hAnsi="Arial"/>
          <w:sz w:val="15"/>
          <w:szCs w:val="15"/>
          <w:b w:val="1"/>
          <w:bCs w:val="1"/>
          <w:color w:val="auto"/>
        </w:rPr>
        <w:t xml:space="preserve"> De prijs van uranium kan aanzienlijk fluctueren over korte perioden, daarom kan de NAV van het Fonds volatieler zijn dan andere soorten investeringen.</w:t>
      </w:r>
    </w:p>
    <w:p>
      <w:pPr>
        <w:spacing w:after="0" w:line="1" w:lineRule="exact"/>
        <w:rPr>
          <w:sz w:val="24"/>
          <w:szCs w:val="24"/>
          <w:color w:val="auto"/>
        </w:rPr>
      </w:pPr>
    </w:p>
    <w:p>
      <w:pPr xmlns:w="http://schemas.openxmlformats.org/wordprocessingml/2006/main">
        <w:spacing w:after="0" w:line="311" w:lineRule="auto"/>
        <w:rPr>
          <w:sz w:val="24"/>
          <w:szCs w:val="24"/>
          <w:color w:val="auto"/>
        </w:rPr>
      </w:pPr>
      <w:r>
        <w:rPr xmlns:w="http://schemas.openxmlformats.org/wordprocessingml/2006/main">
          <w:rFonts w:ascii="Arial" w:cs="Arial" w:eastAsia="Arial" w:hAnsi="Arial"/>
          <w:sz w:val="14"/>
          <w:szCs w:val="14"/>
          <w:b w:val="1"/>
          <w:bCs w:val="1"/>
          <w:color w:val="auto"/>
        </w:rPr>
        <w:t xml:space="preserve">Risico op grondstoffenblootstelling: Het Fonds belegt in uraniumbedrijven, die vatbaar kunnen zijn voor schommelingen in de onderliggende grondstoffenmarkt.</w:t>
      </w:r>
      <w:r>
        <w:rPr xmlns:w="http://schemas.openxmlformats.org/wordprocessingml/2006/main">
          <w:rFonts w:ascii="Arial" w:cs="Arial" w:eastAsia="Arial" w:hAnsi="Arial"/>
          <w:sz w:val="14"/>
          <w:szCs w:val="14"/>
          <w:b w:val="1"/>
          <w:bCs w:val="1"/>
          <w:color w:val="auto"/>
        </w:rPr>
        <w:t xml:space="preserve"> Waardepapieren van door het Fonds aangehouden ondernemingen die afhankelijk zijn van één grondstof of die geconcentreerd zijn in één enkele grondstoffensector, kunnen doorgaans een nog hogere volatiliteit vertonen die toe te schrijven is aan grondstoffenprijzen.</w:t>
      </w:r>
      <w:r>
        <w:rPr xmlns:w="http://schemas.openxmlformats.org/wordprocessingml/2006/main">
          <w:rFonts w:ascii="Arial" w:cs="Arial" w:eastAsia="Arial" w:hAnsi="Arial"/>
          <w:sz w:val="14"/>
          <w:szCs w:val="14"/>
          <w:b w:val="1"/>
          <w:bCs w:val="1"/>
          <w:color w:val="auto"/>
        </w:rPr>
        <w:t xml:space="preserve"> De index meet de prestaties van uraniumbedrijven en niet de prestaties van de uraniumprijs zelf.</w:t>
      </w:r>
      <w:r>
        <w:rPr xmlns:w="http://schemas.openxmlformats.org/wordprocessingml/2006/main">
          <w:rFonts w:ascii="Arial" w:cs="Arial" w:eastAsia="Arial" w:hAnsi="Arial"/>
          <w:sz w:val="14"/>
          <w:szCs w:val="14"/>
          <w:b w:val="1"/>
          <w:bCs w:val="1"/>
          <w:color w:val="auto"/>
        </w:rPr>
        <w:t xml:space="preserve"> De effecten van uraniumbedrijven kunnen de uraniumprijs op korte of lange termijn onder- of overtreffen</w:t>
      </w:r>
      <w:r>
        <w:rPr xmlns:w="http://schemas.openxmlformats.org/wordprocessingml/2006/main">
          <w:rFonts w:ascii="Arial" w:cs="Arial" w:eastAsia="Arial" w:hAnsi="Arial"/>
          <w:sz w:val="18"/>
          <w:szCs w:val="18"/>
          <w:b w:val="1"/>
          <w:bCs w:val="1"/>
          <w:color w:val="auto"/>
        </w:rPr>
        <w:t xml:space="preserve">.</w:t>
      </w:r>
    </w:p>
    <w:p>
      <w:pPr>
        <w:spacing w:after="0" w:line="7" w:lineRule="exact"/>
        <w:rPr>
          <w:sz w:val="24"/>
          <w:szCs w:val="24"/>
          <w:color w:val="auto"/>
        </w:rPr>
      </w:pPr>
    </w:p>
    <w:p>
      <w:pPr xmlns:w="http://schemas.openxmlformats.org/wordprocessingml/2006/main">
        <w:jc w:val="right"/>
        <w:spacing w:after="0" w:line="324" w:lineRule="auto"/>
        <w:rPr>
          <w:sz w:val="24"/>
          <w:szCs w:val="24"/>
          <w:color w:val="auto"/>
        </w:rPr>
      </w:pPr>
      <w:r>
        <w:rPr xmlns:w="http://schemas.openxmlformats.org/wordprocessingml/2006/main">
          <w:rFonts w:ascii="Arial" w:cs="Arial" w:eastAsia="Arial" w:hAnsi="Arial"/>
          <w:sz w:val="14"/>
          <w:szCs w:val="14"/>
          <w:b w:val="1"/>
          <w:bCs w:val="1"/>
          <w:color w:val="auto"/>
        </w:rPr>
        <w:t xml:space="preserve">Geografisch beleggingsrisico: Het Fonds belegt een aanzienlijk deel van zijn activa in effecten van één land of regio en de prestaties van het Fonds zullen waarschijnlijk worden beïnvloed door gebeurtenissen of omstandigheden die dat land of die regio beïnvloeden.</w:t>
      </w:r>
      <w:r>
        <w:rPr xmlns:w="http://schemas.openxmlformats.org/wordprocessingml/2006/main">
          <w:rFonts w:ascii="Arial" w:cs="Arial" w:eastAsia="Arial" w:hAnsi="Arial"/>
          <w:sz w:val="14"/>
          <w:szCs w:val="14"/>
          <w:b w:val="1"/>
          <w:bCs w:val="1"/>
          <w:color w:val="auto"/>
        </w:rPr>
        <w:t xml:space="preserve"> Dergelijke evenementen omvatten, maar zijn niet beperkt tot, politieke en</w:t>
      </w:r>
    </w:p>
    <w:p>
      <w:pPr>
        <w:sectPr>
          <w:pgSz w:w="12240" w:h="15840" w:orient="portrait"/>
          <w:cols w:equalWidth="0" w:num="2">
            <w:col w:w="4860" w:space="720"/>
            <w:col w:w="4120"/>
          </w:cols>
          <w:pgMar w:left="1340" w:top="1440" w:right="1200" w:bottom="598" w:gutter="0" w:footer="0" w:header="0"/>
          <w:type w:val="continuous"/>
        </w:sectPr>
      </w:pPr>
    </w:p>
    <w:bookmarkStart w:id="1" w:name="page2"/>
    <w:bookmarkEnd w:id="1"/>
    <w:p>
      <w:pPr xmlns:w="http://schemas.openxmlformats.org/wordprocessingml/2006/main">
        <w:ind w:left="280" w:right="80"/>
        <w:spacing w:after="0" w:line="261" w:lineRule="auto"/>
        <w:rPr>
          <w:sz w:val="20"/>
          <w:szCs w:val="20"/>
          <w:color w:val="auto"/>
        </w:rPr>
      </w:pPr>
      <w:r>
        <w:rPr xmlns:w="http://schemas.openxmlformats.org/wordprocessingml/2006/main">
          <w:rFonts w:ascii="Arial" w:cs="Arial" w:eastAsia="Arial" w:hAnsi="Arial"/>
          <w:sz w:val="17"/>
          <w:szCs w:val="17"/>
          <w:b w:val="1"/>
          <w:bCs w:val="1"/>
          <w:color w:val="auto"/>
        </w:rPr>
        <w:t xml:space="preserve">economische omstandigheden en veranderingen in het regelgevings-, belasting- of economisch beleid.</w:t>
      </w:r>
    </w:p>
    <w:p>
      <w:pPr>
        <w:spacing w:after="0" w:line="24" w:lineRule="exact"/>
        <w:rPr>
          <w:sz w:val="20"/>
          <w:szCs w:val="20"/>
          <w:color w:val="auto"/>
        </w:rPr>
      </w:pPr>
    </w:p>
    <w:p>
      <w:pPr xmlns:w="http://schemas.openxmlformats.org/wordprocessingml/2006/main">
        <w:ind w:left="280" w:right="80"/>
        <w:spacing w:after="0" w:line="276" w:lineRule="auto"/>
        <w:rPr>
          <w:sz w:val="20"/>
          <w:szCs w:val="20"/>
          <w:color w:val="auto"/>
        </w:rPr>
      </w:pPr>
      <w:r>
        <w:rPr xmlns:w="http://schemas.openxmlformats.org/wordprocessingml/2006/main">
          <w:rFonts w:ascii="Arial" w:cs="Arial" w:eastAsia="Arial" w:hAnsi="Arial"/>
          <w:sz w:val="16"/>
          <w:szCs w:val="16"/>
          <w:b w:val="1"/>
          <w:bCs w:val="1"/>
          <w:color w:val="auto"/>
        </w:rPr>
        <w:t xml:space="preserve">Risico op opkomende markten: Het Fonds kan beleggen in ondernemingen die zijn gevestigd in opkomende markten en die bijkomende risico's kunnen inhouden die doorgaans niet worden geassocieerd met andere, meer gevestigde markten, zoals een verhoogd risico op sociale, economische en politieke onzekerheid.</w:t>
      </w:r>
    </w:p>
    <w:p>
      <w:pPr>
        <w:spacing w:after="0" w:line="12" w:lineRule="exact"/>
        <w:rPr>
          <w:sz w:val="20"/>
          <w:szCs w:val="20"/>
          <w:color w:val="auto"/>
        </w:rPr>
      </w:pPr>
    </w:p>
    <w:p>
      <w:pPr xmlns:w="http://schemas.openxmlformats.org/wordprocessingml/2006/main">
        <w:ind w:left="280" w:right="60"/>
        <w:spacing w:after="0" w:line="319" w:lineRule="auto"/>
        <w:rPr>
          <w:sz w:val="20"/>
          <w:szCs w:val="20"/>
          <w:color w:val="auto"/>
        </w:rPr>
      </w:pPr>
      <w:r>
        <w:rPr xmlns:w="http://schemas.openxmlformats.org/wordprocessingml/2006/main">
          <w:rFonts w:ascii="Arial" w:cs="Arial" w:eastAsia="Arial" w:hAnsi="Arial"/>
          <w:sz w:val="14"/>
          <w:szCs w:val="14"/>
          <w:b w:val="1"/>
          <w:bCs w:val="1"/>
          <w:color w:val="auto"/>
        </w:rPr>
        <w:t xml:space="preserve">Valutarisico: Het Fonds belegt in effecten die luiden in andere valuta's dan zijn basisvaluta.</w:t>
      </w:r>
      <w:r>
        <w:rPr xmlns:w="http://schemas.openxmlformats.org/wordprocessingml/2006/main">
          <w:rFonts w:ascii="Arial" w:cs="Arial" w:eastAsia="Arial" w:hAnsi="Arial"/>
          <w:sz w:val="14"/>
          <w:szCs w:val="14"/>
          <w:b w:val="1"/>
          <w:bCs w:val="1"/>
          <w:color w:val="auto"/>
        </w:rPr>
        <w:t xml:space="preserve"> Veranderingen in de wisselkoersen kunnen de prestaties van het Fonds negatief beïnvloeden.</w:t>
      </w:r>
      <w:r>
        <w:rPr xmlns:w="http://schemas.openxmlformats.org/wordprocessingml/2006/main">
          <w:rFonts w:ascii="Arial" w:cs="Arial" w:eastAsia="Arial" w:hAnsi="Arial"/>
          <w:sz w:val="14"/>
          <w:szCs w:val="14"/>
          <w:b w:val="1"/>
          <w:bCs w:val="1"/>
          <w:color w:val="auto"/>
        </w:rPr>
        <w:t xml:space="preserve"> Risico's die niet door de indicator worden bestreken, maar die van materieel belang zijn voor het Fonds, zijn onder meer:</w:t>
      </w:r>
    </w:p>
    <w:p>
      <w:pPr xmlns:w="http://schemas.openxmlformats.org/wordprocessingml/2006/main">
        <w:jc w:val="right"/>
        <w:ind w:left="280" w:right="80"/>
        <w:spacing w:after="0" w:line="372" w:lineRule="auto"/>
        <w:rPr>
          <w:sz w:val="20"/>
          <w:szCs w:val="20"/>
          <w:color w:val="auto"/>
        </w:rPr>
      </w:pPr>
      <w:r>
        <w:rPr xmlns:w="http://schemas.openxmlformats.org/wordprocessingml/2006/main">
          <w:rFonts w:ascii="Arial" w:cs="Arial" w:eastAsia="Arial" w:hAnsi="Arial"/>
          <w:sz w:val="14"/>
          <w:szCs w:val="14"/>
          <w:b w:val="1"/>
          <w:bCs w:val="1"/>
          <w:color w:val="auto"/>
        </w:rPr>
        <w:t xml:space="preserve">Tracking error risk: De prestaties van het fonds kunnen de index niet precies volgen.</w:t>
      </w:r>
      <w:r>
        <w:rPr xmlns:w="http://schemas.openxmlformats.org/wordprocessingml/2006/main">
          <w:rFonts w:ascii="Arial" w:cs="Arial" w:eastAsia="Arial" w:hAnsi="Arial"/>
          <w:sz w:val="14"/>
          <w:szCs w:val="14"/>
          <w:b w:val="1"/>
          <w:bCs w:val="1"/>
          <w:color w:val="auto"/>
        </w:rPr>
        <w:t xml:space="preserve"> Dit kan het gevolg zijn van marktschommelingen,</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ind w:left="280"/>
        <w:spacing w:after="0" w:line="257" w:lineRule="auto"/>
        <w:rPr>
          <w:sz w:val="20"/>
          <w:szCs w:val="20"/>
          <w:color w:val="auto"/>
        </w:rPr>
      </w:pPr>
      <w:r>
        <w:rPr xmlns:w="http://schemas.openxmlformats.org/wordprocessingml/2006/main">
          <w:rFonts w:ascii="Arial" w:cs="Arial" w:eastAsia="Arial" w:hAnsi="Arial"/>
          <w:sz w:val="17"/>
          <w:szCs w:val="17"/>
          <w:b w:val="1"/>
          <w:bCs w:val="1"/>
          <w:color w:val="auto"/>
        </w:rPr>
        <w:t xml:space="preserve">wijzigingen in de samenstelling van de Index, transactiekosten, de kosten van het aanbrengen van wijzigingen in de portefeuille van het Fonds en andere fondskosten.</w:t>
      </w:r>
    </w:p>
    <w:p>
      <w:pPr>
        <w:spacing w:after="0" w:line="27" w:lineRule="exact"/>
        <w:rPr>
          <w:sz w:val="20"/>
          <w:szCs w:val="20"/>
          <w:color w:val="auto"/>
        </w:rPr>
      </w:pPr>
    </w:p>
    <w:p>
      <w:pPr xmlns:w="http://schemas.openxmlformats.org/wordprocessingml/2006/main">
        <w:ind w:left="280"/>
        <w:spacing w:after="0" w:line="293" w:lineRule="auto"/>
        <w:rPr>
          <w:sz w:val="20"/>
          <w:szCs w:val="20"/>
          <w:color w:val="auto"/>
        </w:rPr>
      </w:pPr>
      <w:r>
        <w:rPr xmlns:w="http://schemas.openxmlformats.org/wordprocessingml/2006/main">
          <w:rFonts w:ascii="Arial" w:cs="Arial" w:eastAsia="Arial" w:hAnsi="Arial"/>
          <w:sz w:val="15"/>
          <w:szCs w:val="15"/>
          <w:b w:val="1"/>
          <w:bCs w:val="1"/>
          <w:color w:val="auto"/>
        </w:rPr>
        <w:t xml:space="preserve">Liquiditeit bij secundair marktrisico: Er kan geen zekerheid zijn dat Aandelen altijd op een beurs kunnen worden gekocht of verkocht of dat de marktprijs de NAV van het Fonds zal weerspiegelen.</w:t>
      </w:r>
      <w:r>
        <w:rPr xmlns:w="http://schemas.openxmlformats.org/wordprocessingml/2006/main">
          <w:rFonts w:ascii="Arial" w:cs="Arial" w:eastAsia="Arial" w:hAnsi="Arial"/>
          <w:sz w:val="15"/>
          <w:szCs w:val="15"/>
          <w:b w:val="1"/>
          <w:bCs w:val="1"/>
          <w:color w:val="auto"/>
        </w:rPr>
        <w:t xml:space="preserve"> Het kan voor het Fonds moeilijk zijn om onder bepaalde marktomstandigheden bepaalde beleggingen te kopen of te verkopen.</w:t>
      </w:r>
      <w:r>
        <w:rPr xmlns:w="http://schemas.openxmlformats.org/wordprocessingml/2006/main">
          <w:rFonts w:ascii="Arial" w:cs="Arial" w:eastAsia="Arial" w:hAnsi="Arial"/>
          <w:sz w:val="15"/>
          <w:szCs w:val="15"/>
          <w:b w:val="1"/>
          <w:bCs w:val="1"/>
          <w:color w:val="auto"/>
        </w:rPr>
        <w:t xml:space="preserve"> Bijgevolg kan de prijs die wordt verkregen wanneer het Fonds effecten koopt of verkoopt, onder normale marktomstandigheden ongunstig worden vergeleken met de prijs.</w:t>
      </w:r>
    </w:p>
    <w:p>
      <w:pPr>
        <w:spacing w:after="0" w:line="5" w:lineRule="exact"/>
        <w:rPr>
          <w:sz w:val="20"/>
          <w:szCs w:val="20"/>
          <w:color w:val="auto"/>
        </w:rPr>
      </w:pPr>
    </w:p>
    <w:p>
      <w:pPr xmlns:w="http://schemas.openxmlformats.org/wordprocessingml/2006/main">
        <w:jc w:val="both"/>
        <w:spacing w:after="0" w:line="259" w:lineRule="auto"/>
        <w:rPr>
          <w:sz w:val="20"/>
          <w:szCs w:val="20"/>
          <w:color w:val="auto"/>
        </w:rPr>
      </w:pPr>
      <w:r>
        <w:rPr xmlns:w="http://schemas.openxmlformats.org/wordprocessingml/2006/main">
          <w:rFonts w:ascii="Arial" w:cs="Arial" w:eastAsia="Arial" w:hAnsi="Arial"/>
          <w:sz w:val="17"/>
          <w:szCs w:val="17"/>
          <w:b w:val="1"/>
          <w:bCs w:val="1"/>
          <w:color w:val="auto"/>
        </w:rPr>
        <w:t xml:space="preserve">Voor een volledig overzicht van alle risico’s die aan dit Fonds verbonden zijn, verwijzen wij naar de rubriek "Risicofactoren" in het Supplement en het 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-3295015</wp:posOffset>
            </wp:positionH>
            <wp:positionV relativeFrom="paragraph">
              <wp:posOffset>122555</wp:posOffset>
            </wp:positionV>
            <wp:extent cx="6163310" cy="2425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6163310" cy="242570"/>
                    </a:xfrm>
                    <a:prstGeom prst="rect">
                      <a:avLst/>
                    </a:prstGeom>
                    <a:noFill/>
                  </pic:spPr>
                </pic:pic>
              </a:graphicData>
            </a:graphic>
          </wp:anchor>
        </w:drawing>
      </w:r>
    </w:p>
    <w:p>
      <w:pPr>
        <w:spacing w:after="0" w:line="250" w:lineRule="exact"/>
        <w:rPr>
          <w:sz w:val="20"/>
          <w:szCs w:val="20"/>
          <w:color w:val="auto"/>
        </w:rPr>
      </w:pPr>
    </w:p>
    <w:p>
      <w:pPr>
        <w:sectPr>
          <w:pgSz w:w="12240" w:h="15840" w:orient="portrait"/>
          <w:cols w:equalWidth="0" w:num="2">
            <w:col w:w="4480" w:space="720"/>
            <w:col w:w="4400"/>
          </w:cols>
          <w:pgMar w:left="1440" w:top="679" w:right="1200" w:bottom="448" w:gutter="0" w:footer="0" w:header="0"/>
        </w:sect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23"/>
          <w:szCs w:val="23"/>
          <w:b w:val="1"/>
          <w:bCs w:val="1"/>
          <w:color w:val="auto"/>
        </w:rPr>
        <w:t xml:space="preserve">lasten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38100</wp:posOffset>
            </wp:positionV>
            <wp:extent cx="6163310" cy="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6163310" cy="6350"/>
                    </a:xfrm>
                    <a:prstGeom prst="rect">
                      <a:avLst/>
                    </a:prstGeom>
                    <a:noFill/>
                  </pic:spPr>
                </pic:pic>
              </a:graphicData>
            </a:graphic>
          </wp:anchor>
        </w:drawing>
      </w:r>
    </w:p>
    <w:p>
      <w:pPr>
        <w:spacing w:after="0" w:line="235" w:lineRule="exact"/>
        <w:rPr>
          <w:sz w:val="20"/>
          <w:szCs w:val="20"/>
          <w:color w:val="auto"/>
        </w:rPr>
      </w:pPr>
    </w:p>
    <w:p>
      <w:pPr xmlns:w="http://schemas.openxmlformats.org/wordprocessingml/2006/main">
        <w:jc w:val="both"/>
        <w:ind w:left="120"/>
        <w:spacing w:after="0" w:line="282" w:lineRule="auto"/>
        <w:rPr>
          <w:sz w:val="20"/>
          <w:szCs w:val="20"/>
          <w:color w:val="auto"/>
        </w:rPr>
      </w:pPr>
      <w:r>
        <w:rPr xmlns:w="http://schemas.openxmlformats.org/wordprocessingml/2006/main">
          <w:rFonts w:ascii="Arial" w:cs="Arial" w:eastAsia="Arial" w:hAnsi="Arial"/>
          <w:sz w:val="16"/>
          <w:szCs w:val="16"/>
          <w:b w:val="1"/>
          <w:bCs w:val="1"/>
          <w:color w:val="auto"/>
        </w:rPr>
        <w:t xml:space="preserve">De kosten die u betaalt, worden gebruikt om de kosten van het beheer van het Fonds te betalen, inclusief de kosten van marketing en distributie ervan.</w:t>
      </w:r>
      <w:r>
        <w:rPr xmlns:w="http://schemas.openxmlformats.org/wordprocessingml/2006/main">
          <w:rFonts w:ascii="Arial" w:cs="Arial" w:eastAsia="Arial" w:hAnsi="Arial"/>
          <w:sz w:val="16"/>
          <w:szCs w:val="16"/>
          <w:b w:val="1"/>
          <w:bCs w:val="1"/>
          <w:color w:val="auto"/>
        </w:rPr>
        <w:t xml:space="preserve"> Deze kosten verminderen de potentiële groei van uw investering.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212090</wp:posOffset>
            </wp:positionH>
            <wp:positionV relativeFrom="paragraph">
              <wp:posOffset>112395</wp:posOffset>
            </wp:positionV>
            <wp:extent cx="2875915" cy="1689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2875915" cy="168910"/>
                    </a:xfrm>
                    <a:prstGeom prst="rect">
                      <a:avLst/>
                    </a:prstGeom>
                    <a:noFill/>
                  </pic:spPr>
                </pic:pic>
              </a:graphicData>
            </a:graphic>
          </wp:anchor>
        </w:drawing>
      </w:r>
    </w:p>
    <w:p>
      <w:pPr>
        <w:spacing w:after="0" w:line="188" w:lineRule="exact"/>
        <w:rPr>
          <w:sz w:val="20"/>
          <w:szCs w:val="20"/>
          <w:color w:val="auto"/>
        </w:rPr>
      </w:pPr>
    </w:p>
    <w:tbl>
      <w:tblPr>
        <w:tblLayout w:type="fixed"/>
        <w:tblInd w:w="440" w:type="dxa"/>
        <w:tblCellMar>
          <w:top w:w="0" w:type="dxa"/>
          <w:left w:w="0" w:type="dxa"/>
          <w:bottom w:w="0" w:type="dxa"/>
          <w:right w:w="0" w:type="dxa"/>
        </w:tblCellMar>
      </w:tblPr>
      <w:tr>
        <w:trPr>
          <w:trHeight w:val="205"/>
        </w:trPr>
        <w:tc>
          <w:tcPr>
            <w:tcW w:w="36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w w:val="93"/>
              </w:rPr>
              <w:t xml:space="preserve">Eenmalige kosten die voor of na uw investering zijn gemaakt</w:t>
            </w:r>
          </w:p>
        </w:tc>
        <w:tc>
          <w:tcPr>
            <w:tcW w:w="680" w:type="dxa"/>
            <w:vAlign w:val="bottom"/>
          </w:tcPr>
          <w:p>
            <w:pPr>
              <w:spacing w:after="0"/>
              <w:rPr>
                <w:sz w:val="17"/>
                <w:szCs w:val="17"/>
                <w:color w:val="auto"/>
              </w:rPr>
            </w:pPr>
          </w:p>
        </w:tc>
      </w:tr>
      <w:tr>
        <w:trPr>
          <w:trHeight w:val="235"/>
        </w:trPr>
        <w:tc>
          <w:tcPr>
            <w:tcW w:w="36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Toeslag bij binnenkomst</w:t>
            </w:r>
          </w:p>
        </w:tc>
        <w:tc>
          <w:tcPr>
            <w:tcW w:w="6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0%*</w:t>
            </w:r>
          </w:p>
        </w:tc>
      </w:tr>
      <w:tr>
        <w:trPr>
          <w:trHeight w:val="216"/>
        </w:trPr>
        <w:tc>
          <w:tcPr>
            <w:tcW w:w="36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Exitkosten</w:t>
            </w:r>
          </w:p>
        </w:tc>
        <w:tc>
          <w:tcPr>
            <w:tcW w:w="6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0%*</w:t>
            </w:r>
          </w:p>
        </w:tc>
      </w:tr>
      <w:tr>
        <w:trPr>
          <w:trHeight w:val="451"/>
        </w:trPr>
        <w:tc>
          <w:tcPr>
            <w:tcW w:w="36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Kosten die over een jaar uit het Fonds zijn ontvangen</w:t>
            </w:r>
          </w:p>
        </w:tc>
        <w:tc>
          <w:tcPr>
            <w:tcW w:w="680" w:type="dxa"/>
            <w:vAlign w:val="bottom"/>
          </w:tcPr>
          <w:p>
            <w:pPr>
              <w:spacing w:after="0"/>
              <w:rPr>
                <w:sz w:val="24"/>
                <w:szCs w:val="24"/>
                <w:color w:val="auto"/>
              </w:rPr>
            </w:pPr>
          </w:p>
        </w:tc>
      </w:tr>
      <w:tr>
        <w:trPr>
          <w:trHeight w:val="238"/>
        </w:trPr>
        <w:tc>
          <w:tcPr>
            <w:tcW w:w="36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Lopende kosten</w:t>
            </w:r>
          </w:p>
        </w:tc>
        <w:tc>
          <w:tcPr>
            <w:tcW w:w="6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0,85 %**</w:t>
            </w:r>
          </w:p>
        </w:tc>
      </w:tr>
      <w:tr>
        <w:trPr>
          <w:trHeight w:val="422"/>
        </w:trPr>
        <w:tc>
          <w:tcPr>
            <w:tcW w:w="36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w w:val="87"/>
              </w:rPr>
              <w:t xml:space="preserve">Uit het Fonds ontvangen heffingen in het kader van bepaalde specifieke</w:t>
            </w:r>
          </w:p>
        </w:tc>
        <w:tc>
          <w:tcPr>
            <w:tcW w:w="680" w:type="dxa"/>
            <w:vAlign w:val="bottom"/>
          </w:tcPr>
          <w:p>
            <w:pPr>
              <w:spacing w:after="0"/>
              <w:rPr>
                <w:sz w:val="24"/>
                <w:szCs w:val="24"/>
                <w:color w:val="auto"/>
              </w:rPr>
            </w:pPr>
          </w:p>
        </w:tc>
      </w:tr>
      <w:tr>
        <w:trPr>
          <w:trHeight w:val="206"/>
        </w:trPr>
        <w:tc>
          <w:tcPr>
            <w:tcW w:w="36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voorwaarden</w:t>
            </w:r>
          </w:p>
        </w:tc>
        <w:tc>
          <w:tcPr>
            <w:tcW w:w="680" w:type="dxa"/>
            <w:vAlign w:val="bottom"/>
          </w:tcPr>
          <w:p>
            <w:pPr>
              <w:spacing w:after="0"/>
              <w:rPr>
                <w:sz w:val="17"/>
                <w:szCs w:val="17"/>
                <w:color w:val="auto"/>
              </w:rPr>
            </w:pPr>
          </w:p>
        </w:tc>
      </w:tr>
      <w:tr>
        <w:trPr>
          <w:trHeight w:val="209"/>
        </w:trPr>
        <w:tc>
          <w:tcPr>
            <w:tcW w:w="36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Prestatievergoeding</w:t>
            </w:r>
          </w:p>
        </w:tc>
        <w:tc>
          <w:tcPr>
            <w:tcW w:w="6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Geen</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212090</wp:posOffset>
            </wp:positionH>
            <wp:positionV relativeFrom="paragraph">
              <wp:posOffset>-1235710</wp:posOffset>
            </wp:positionV>
            <wp:extent cx="2875915" cy="27432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2875915" cy="274320"/>
                    </a:xfrm>
                    <a:prstGeom prst="rect">
                      <a:avLst/>
                    </a:prstGeom>
                    <a:noFill/>
                  </pic:spPr>
                </pic:pic>
              </a:graphicData>
            </a:graphic>
          </wp:anchor>
        </w:drawing>
        <w:drawing>
          <wp:anchor simplePos="0" relativeHeight="251657728" behindDoc="1" locked="0" layoutInCell="0" allowOverlap="1">
            <wp:simplePos x="0" y="0"/>
            <wp:positionH relativeFrom="column">
              <wp:posOffset>212090</wp:posOffset>
            </wp:positionH>
            <wp:positionV relativeFrom="paragraph">
              <wp:posOffset>-830580</wp:posOffset>
            </wp:positionV>
            <wp:extent cx="2875915" cy="3060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2875915" cy="306070"/>
                    </a:xfrm>
                    <a:prstGeom prst="rect">
                      <a:avLst/>
                    </a:prstGeom>
                    <a:noFill/>
                  </pic:spPr>
                </pic:pic>
              </a:graphicData>
            </a:graphic>
          </wp:anchor>
        </w:drawing>
        <w:drawing>
          <wp:anchor simplePos="0" relativeHeight="251657728" behindDoc="1" locked="0" layoutInCell="0" allowOverlap="1">
            <wp:simplePos x="0" y="0"/>
            <wp:positionH relativeFrom="column">
              <wp:posOffset>202565</wp:posOffset>
            </wp:positionH>
            <wp:positionV relativeFrom="paragraph">
              <wp:posOffset>-393065</wp:posOffset>
            </wp:positionV>
            <wp:extent cx="2884805" cy="39941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2884805" cy="399415"/>
                    </a:xfrm>
                    <a:prstGeom prst="rect">
                      <a:avLst/>
                    </a:prstGeom>
                    <a:noFill/>
                  </pic:spPr>
                </pic:pic>
              </a:graphicData>
            </a:graphic>
          </wp:anchor>
        </w:drawing>
      </w:r>
    </w:p>
    <w:p>
      <w:pPr>
        <w:spacing w:after="0" w:line="195" w:lineRule="exact"/>
        <w:rPr>
          <w:sz w:val="20"/>
          <w:szCs w:val="20"/>
          <w:color w:val="auto"/>
        </w:rPr>
      </w:pPr>
    </w:p>
    <w:p>
      <w:pPr xmlns:w="http://schemas.openxmlformats.org/wordprocessingml/2006/main">
        <w:jc w:val="both"/>
        <w:ind w:left="120" w:hanging="5"/>
        <w:spacing w:after="0" w:line="257" w:lineRule="auto"/>
        <w:tabs>
          <w:tab w:leader="none" w:pos="233" w:val="left"/>
        </w:tabs>
        <w:numPr>
          <w:ilvl w:val="0"/>
          <w:numId w:val="6"/>
        </w:numPr>
        <w:rPr>
          <w:rFonts w:ascii="Arial" w:cs="Arial" w:eastAsia="Arial" w:hAnsi="Arial"/>
          <w:sz w:val="17"/>
          <w:szCs w:val="17"/>
          <w:b w:val="1"/>
          <w:bCs w:val="1"/>
          <w:color w:val="auto"/>
        </w:rPr>
      </w:pPr>
      <w:r>
        <w:rPr xmlns:w="http://schemas.openxmlformats.org/wordprocessingml/2006/main">
          <w:rFonts w:ascii="Arial" w:cs="Arial" w:eastAsia="Arial" w:hAnsi="Arial"/>
          <w:sz w:val="17"/>
          <w:szCs w:val="17"/>
          <w:b w:val="1"/>
          <w:bCs w:val="1"/>
          <w:color w:val="auto"/>
        </w:rPr>
        <w:t xml:space="preserve">Gemachtigde deelnemers die rechtstreeks met het Fonds te maken hebben, mogen een instapvergoeding betalen tot maximaal 5 % en een uitstapvergoeding tot maximaal 3 %.</w:t>
      </w:r>
      <w:r>
        <w:rPr xmlns:w="http://schemas.openxmlformats.org/wordprocessingml/2006/main">
          <w:rFonts w:ascii="Arial" w:cs="Arial" w:eastAsia="Arial" w:hAnsi="Arial"/>
          <w:sz w:val="17"/>
          <w:szCs w:val="17"/>
          <w:b w:val="1"/>
          <w:bCs w:val="1"/>
          <w:color w:val="auto"/>
        </w:rPr>
        <w:t xml:space="preserve"> Het Fonds maakt momenteel geen gebruik van zijn recht om inreis-en uitstapkosten in rekening te brengen.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155575</wp:posOffset>
            </wp:positionV>
            <wp:extent cx="6163310" cy="24384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6163310" cy="243840"/>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00" w:lineRule="exact"/>
        <w:rPr>
          <w:sz w:val="20"/>
          <w:szCs w:val="20"/>
          <w:color w:val="auto"/>
        </w:rPr>
      </w:pPr>
    </w:p>
    <w:p>
      <w:pPr>
        <w:spacing w:after="0" w:line="299" w:lineRule="exact"/>
        <w:rPr>
          <w:sz w:val="20"/>
          <w:szCs w:val="20"/>
          <w:color w:val="auto"/>
        </w:rPr>
      </w:pPr>
    </w:p>
    <w:p>
      <w:pPr xmlns:w="http://schemas.openxmlformats.org/wordprocessingml/2006/main">
        <w:jc w:val="both"/>
        <w:spacing w:after="0" w:line="287" w:lineRule="auto"/>
        <w:rPr>
          <w:sz w:val="20"/>
          <w:szCs w:val="20"/>
          <w:color w:val="auto"/>
        </w:rPr>
      </w:pPr>
      <w:r>
        <w:rPr xmlns:w="http://schemas.openxmlformats.org/wordprocessingml/2006/main">
          <w:rFonts w:ascii="Arial" w:cs="Arial" w:eastAsia="Arial" w:hAnsi="Arial"/>
          <w:sz w:val="15"/>
          <w:szCs w:val="15"/>
          <w:b w:val="1"/>
          <w:bCs w:val="1"/>
          <w:color w:val="auto"/>
        </w:rPr>
        <w:t xml:space="preserve">Aangezien het fonds een ETF is, zullen beleggers op de secundaire markt doorgaans niet rechtstreeks met HANetf ICAV kunnen omgaan.</w:t>
      </w:r>
      <w:r>
        <w:rPr xmlns:w="http://schemas.openxmlformats.org/wordprocessingml/2006/main">
          <w:rFonts w:ascii="Arial" w:cs="Arial" w:eastAsia="Arial" w:hAnsi="Arial"/>
          <w:sz w:val="15"/>
          <w:szCs w:val="15"/>
          <w:b w:val="1"/>
          <w:bCs w:val="1"/>
          <w:color w:val="auto"/>
        </w:rPr>
        <w:t xml:space="preserve"> Beleggers die Aandelen kopen op de beurs, zullen dit doen tegen marktprijzen die de kosten van de makelaar en/of transacties en de marge tussen bied- en laatkoers en de onderliggende prijzen van de onderneming op het moment van de handel op de secundaire markt weerspiegelen.</w:t>
      </w:r>
    </w:p>
    <w:p>
      <w:pPr>
        <w:spacing w:after="0" w:line="1" w:lineRule="exact"/>
        <w:rPr>
          <w:sz w:val="20"/>
          <w:szCs w:val="20"/>
          <w:color w:val="auto"/>
        </w:rPr>
      </w:pPr>
    </w:p>
    <w:p>
      <w:pPr xmlns:w="http://schemas.openxmlformats.org/wordprocessingml/2006/main">
        <w:jc w:val="both"/>
        <w:ind w:firstLine="2"/>
        <w:spacing w:after="0" w:line="270" w:lineRule="auto"/>
        <w:tabs>
          <w:tab w:leader="none" w:pos="115" w:val="left"/>
        </w:tabs>
        <w:numPr>
          <w:ilvl w:val="0"/>
          <w:numId w:val="7"/>
        </w:numPr>
        <w:rPr>
          <w:rFonts w:ascii="Arial" w:cs="Arial" w:eastAsia="Arial" w:hAnsi="Arial"/>
          <w:sz w:val="16"/>
          <w:szCs w:val="16"/>
          <w:b w:val="1"/>
          <w:bCs w:val="1"/>
          <w:color w:val="auto"/>
        </w:rPr>
      </w:pPr>
      <w:r>
        <w:rPr xmlns:w="http://schemas.openxmlformats.org/wordprocessingml/2006/main">
          <w:rFonts w:ascii="Arial" w:cs="Arial" w:eastAsia="Arial" w:hAnsi="Arial"/>
          <w:sz w:val="16"/>
          <w:szCs w:val="16"/>
          <w:b w:val="1"/>
          <w:bCs w:val="1"/>
          <w:color w:val="auto"/>
        </w:rPr>
        <w:t xml:space="preserve">Gemachtigde deelnemers die rechtstreeks met het Fonds te maken hebben, zullen de daarmee samenhangende transactiekosten betalen.</w:t>
      </w:r>
      <w:r>
        <w:rPr xmlns:w="http://schemas.openxmlformats.org/wordprocessingml/2006/main">
          <w:rFonts w:ascii="Arial" w:cs="Arial" w:eastAsia="Arial" w:hAnsi="Arial"/>
          <w:sz w:val="16"/>
          <w:szCs w:val="16"/>
          <w:b w:val="1"/>
          <w:bCs w:val="1"/>
          <w:color w:val="auto"/>
        </w:rPr>
        <w:t xml:space="preserve"> * Voor beleggers die rechtstreeks met het Fonds te maken hebben, kan het overstappen tussen subfondsen een maximale overstapvergoeding van 3% met zich meebrengen.</w:t>
      </w:r>
    </w:p>
    <w:p>
      <w:pPr xmlns:w="http://schemas.openxmlformats.org/wordprocessingml/2006/main">
        <w:jc w:val="both"/>
        <w:spacing w:after="0" w:line="298" w:lineRule="auto"/>
        <w:rPr>
          <w:rFonts w:ascii="Arial" w:cs="Arial" w:eastAsia="Arial" w:hAnsi="Arial"/>
          <w:sz w:val="16"/>
          <w:szCs w:val="16"/>
          <w:b w:val="1"/>
          <w:bCs w:val="1"/>
          <w:color w:val="auto"/>
        </w:rPr>
      </w:pPr>
      <w:r>
        <w:rPr xmlns:w="http://schemas.openxmlformats.org/wordprocessingml/2006/main">
          <w:rFonts w:ascii="Arial" w:cs="Arial" w:eastAsia="Arial" w:hAnsi="Arial"/>
          <w:sz w:val="15"/>
          <w:szCs w:val="15"/>
          <w:b w:val="1"/>
          <w:bCs w:val="1"/>
          <w:color w:val="auto"/>
        </w:rPr>
        <w:t xml:space="preserve">** De lopende kosten worden betaald aan de beheerder die verantwoordelijk is voor het onttrekken van de kosten van de werking van het Fonds aan zijn vergoeding.</w:t>
      </w:r>
      <w:r>
        <w:rPr xmlns:w="http://schemas.openxmlformats.org/wordprocessingml/2006/main">
          <w:rFonts w:ascii="Arial" w:cs="Arial" w:eastAsia="Arial" w:hAnsi="Arial"/>
          <w:sz w:val="15"/>
          <w:szCs w:val="15"/>
          <w:b w:val="1"/>
          <w:bCs w:val="1"/>
          <w:color w:val="auto"/>
        </w:rPr>
        <w:t xml:space="preserve"> Het omvat geen transactiekosten voor de portefeuille, behalve in het geval van een door het Fonds betaalde entry/exit-vergoeding bij de aankoop of verkoop van rechten van deelneming in een ander beleggingsfonds.</w:t>
      </w:r>
    </w:p>
    <w:p>
      <w:pPr>
        <w:spacing w:after="0" w:line="168" w:lineRule="exact"/>
        <w:rPr>
          <w:sz w:val="20"/>
          <w:szCs w:val="20"/>
          <w:color w:val="auto"/>
        </w:rPr>
      </w:pPr>
    </w:p>
    <w:p>
      <w:pPr xmlns:w="http://schemas.openxmlformats.org/wordprocessingml/2006/main">
        <w:jc w:val="both"/>
        <w:spacing w:after="0" w:line="256" w:lineRule="auto"/>
        <w:rPr>
          <w:sz w:val="20"/>
          <w:szCs w:val="20"/>
          <w:color w:val="auto"/>
        </w:rPr>
      </w:pPr>
      <w:r>
        <w:rPr xmlns:w="http://schemas.openxmlformats.org/wordprocessingml/2006/main">
          <w:rFonts w:ascii="Arial" w:cs="Arial" w:eastAsia="Arial" w:hAnsi="Arial"/>
          <w:sz w:val="17"/>
          <w:szCs w:val="17"/>
          <w:b w:val="1"/>
          <w:bCs w:val="1"/>
          <w:color w:val="auto"/>
        </w:rPr>
        <w:t xml:space="preserve">Zie de secties "Algemene kosten en uitgaven" en "Beheerkosten en uitgaven" van het prospectus en de secties "Kosten en uitgaven" en "Belangrijke informatie voor aandelenhandel" van het supplement voor meer informatie over kosten.</w:t>
      </w:r>
    </w:p>
    <w:p>
      <w:pPr>
        <w:spacing w:after="0" w:line="49" w:lineRule="exact"/>
        <w:rPr>
          <w:sz w:val="20"/>
          <w:szCs w:val="20"/>
          <w:color w:val="auto"/>
        </w:rPr>
      </w:pPr>
    </w:p>
    <w:p>
      <w:pPr>
        <w:sectPr>
          <w:pgSz w:w="12240" w:h="15840" w:orient="portrait"/>
          <w:cols w:equalWidth="0" w:num="2">
            <w:col w:w="5080" w:space="200"/>
            <w:col w:w="4320"/>
          </w:cols>
          <w:pgMar w:left="1440" w:top="679" w:right="1200" w:bottom="448" w:gutter="0" w:footer="0" w:header="0"/>
          <w:type w:val="continuous"/>
        </w:sect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23"/>
          <w:szCs w:val="23"/>
          <w:b w:val="1"/>
          <w:bCs w:val="1"/>
          <w:color w:val="auto"/>
        </w:rPr>
        <w:t xml:space="preserve">Prestaties in het verleden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38100</wp:posOffset>
            </wp:positionV>
            <wp:extent cx="6163310" cy="635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6163310" cy="6350"/>
                    </a:xfrm>
                    <a:prstGeom prst="rect">
                      <a:avLst/>
                    </a:prstGeom>
                    <a:noFill/>
                  </pic:spPr>
                </pic:pic>
              </a:graphicData>
            </a:graphic>
          </wp:anchor>
        </w:drawing>
      </w:r>
    </w:p>
    <w:p>
      <w:pPr>
        <w:spacing w:after="0" w:line="233" w:lineRule="exact"/>
        <w:rPr>
          <w:sz w:val="20"/>
          <w:szCs w:val="20"/>
          <w:color w:val="auto"/>
        </w:rPr>
      </w:pPr>
    </w:p>
    <w:p>
      <w:pPr xmlns:w="http://schemas.openxmlformats.org/wordprocessingml/2006/main">
        <w:ind w:left="460"/>
        <w:spacing w:after="0"/>
        <w:rPr>
          <w:sz w:val="20"/>
          <w:szCs w:val="20"/>
          <w:color w:val="auto"/>
        </w:rPr>
      </w:pPr>
      <w:r>
        <w:rPr xmlns:w="http://schemas.openxmlformats.org/wordprocessingml/2006/main">
          <w:rFonts w:ascii="Arial" w:cs="Arial" w:eastAsia="Arial" w:hAnsi="Arial"/>
          <w:sz w:val="15"/>
          <w:szCs w:val="15"/>
          <w:b w:val="1"/>
          <w:bCs w:val="1"/>
          <w:color w:val="auto"/>
        </w:rPr>
        <w:t xml:space="preserve">Er zijn onvoldoende gegevens beschikbaar om beleggers een nuttige indicatie te geven van de in het verleden behaalde resultaten.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156845</wp:posOffset>
            </wp:positionV>
            <wp:extent cx="6163310" cy="24384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6163310" cy="243840"/>
                    </a:xfrm>
                    <a:prstGeom prst="rect">
                      <a:avLst/>
                    </a:prstGeom>
                    <a:noFill/>
                  </pic:spPr>
                </pic:pic>
              </a:graphicData>
            </a:graphic>
          </wp:anchor>
        </w:drawing>
      </w:r>
    </w:p>
    <w:p>
      <w:pPr>
        <w:spacing w:after="0" w:line="286"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23"/>
          <w:szCs w:val="23"/>
          <w:b w:val="1"/>
          <w:bCs w:val="1"/>
          <w:color w:val="auto"/>
        </w:rPr>
        <w:t xml:space="preserve">Praktische informatie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38100</wp:posOffset>
            </wp:positionV>
            <wp:extent cx="6163310" cy="63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163310" cy="6350"/>
                    </a:xfrm>
                    <a:prstGeom prst="rect">
                      <a:avLst/>
                    </a:prstGeom>
                    <a:noFill/>
                  </pic:spPr>
                </pic:pic>
              </a:graphicData>
            </a:graphic>
          </wp:anchor>
        </w:drawing>
      </w:r>
    </w:p>
    <w:p>
      <w:pPr>
        <w:sectPr>
          <w:pgSz w:w="12240" w:h="15840" w:orient="portrait"/>
          <w:cols w:equalWidth="0" w:num="1">
            <w:col w:w="9600"/>
          </w:cols>
          <w:pgMar w:left="1440" w:top="679" w:right="1200" w:bottom="448" w:gutter="0" w:footer="0" w:header="0"/>
          <w:type w:val="continuous"/>
        </w:sectPr>
      </w:pPr>
    </w:p>
    <w:p>
      <w:pPr>
        <w:spacing w:after="0" w:line="276"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Beleggingsmanager: Vident Advisory, LLC</w:t>
      </w:r>
    </w:p>
    <w:p>
      <w:pPr>
        <w:spacing w:after="0" w:line="13"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7"/>
          <w:szCs w:val="17"/>
          <w:b w:val="1"/>
          <w:bCs w:val="1"/>
          <w:color w:val="auto"/>
        </w:rPr>
        <w:t xml:space="preserve">Depositaris: J.P. Morgan SE - Dublin Branch.</w:t>
      </w:r>
    </w:p>
    <w:p>
      <w:pPr>
        <w:spacing w:after="0" w:line="9"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5"/>
          <w:szCs w:val="15"/>
          <w:b w:val="1"/>
          <w:bCs w:val="1"/>
          <w:color w:val="auto"/>
        </w:rPr>
        <w:t xml:space="preserve">Beheerder: J.P. Morgan Administration Services (Ireland) Limited.</w:t>
      </w:r>
    </w:p>
    <w:p>
      <w:pPr>
        <w:spacing w:after="0" w:line="36" w:lineRule="exact"/>
        <w:rPr>
          <w:sz w:val="20"/>
          <w:szCs w:val="20"/>
          <w:color w:val="auto"/>
        </w:rPr>
      </w:pPr>
    </w:p>
    <w:p>
      <w:pPr xmlns:w="http://schemas.openxmlformats.org/wordprocessingml/2006/main">
        <w:jc w:val="both"/>
        <w:ind w:left="120"/>
        <w:spacing w:after="0" w:line="287" w:lineRule="auto"/>
        <w:rPr>
          <w:sz w:val="20"/>
          <w:szCs w:val="20"/>
          <w:color w:val="auto"/>
        </w:rPr>
      </w:pPr>
      <w:r>
        <w:rPr xmlns:w="http://schemas.openxmlformats.org/wordprocessingml/2006/main">
          <w:rFonts w:ascii="Arial" w:cs="Arial" w:eastAsia="Arial" w:hAnsi="Arial"/>
          <w:sz w:val="15"/>
          <w:szCs w:val="15"/>
          <w:b w:val="1"/>
          <w:bCs w:val="1"/>
          <w:color w:val="auto"/>
        </w:rPr>
        <w:t xml:space="preserve">Nadere informatie: Kopieën van de Prospectusdocumentatie en de meest recente financiële overzichten zijn kosteloos verkrijgbaar bij de Beheerder.</w:t>
      </w:r>
      <w:r>
        <w:rPr xmlns:w="http://schemas.openxmlformats.org/wordprocessingml/2006/main">
          <w:rFonts w:ascii="Arial" w:cs="Arial" w:eastAsia="Arial" w:hAnsi="Arial"/>
          <w:sz w:val="15"/>
          <w:szCs w:val="15"/>
          <w:b w:val="1"/>
          <w:bCs w:val="1"/>
          <w:color w:val="auto"/>
        </w:rPr>
        <w:t xml:space="preserve"> Het Prospectus en de jaarrekening worden opgesteld voor HANetf ICAV in plaats van afzonderlijk voor het Fonds.</w:t>
      </w:r>
      <w:r>
        <w:rPr xmlns:w="http://schemas.openxmlformats.org/wordprocessingml/2006/main">
          <w:rFonts w:ascii="Arial" w:cs="Arial" w:eastAsia="Arial" w:hAnsi="Arial"/>
          <w:sz w:val="15"/>
          <w:szCs w:val="15"/>
          <w:b w:val="1"/>
          <w:bCs w:val="1"/>
          <w:color w:val="auto"/>
        </w:rPr>
        <w:t xml:space="preserve"> Nadere informatie over de samenstelling van de portefeuille en informatie over de bestanddelen van de Index is beschikbaar op www.HANetf.com.</w:t>
      </w:r>
    </w:p>
    <w:p>
      <w:pPr>
        <w:spacing w:after="0" w:line="1" w:lineRule="exact"/>
        <w:rPr>
          <w:sz w:val="20"/>
          <w:szCs w:val="20"/>
          <w:color w:val="auto"/>
        </w:rPr>
      </w:pPr>
    </w:p>
    <w:p>
      <w:pPr xmlns:w="http://schemas.openxmlformats.org/wordprocessingml/2006/main">
        <w:jc w:val="both"/>
        <w:ind w:left="120"/>
        <w:spacing w:after="0" w:line="287" w:lineRule="auto"/>
        <w:rPr>
          <w:sz w:val="20"/>
          <w:szCs w:val="20"/>
          <w:color w:val="auto"/>
        </w:rPr>
      </w:pPr>
      <w:r>
        <w:rPr xmlns:w="http://schemas.openxmlformats.org/wordprocessingml/2006/main">
          <w:rFonts w:ascii="Arial" w:cs="Arial" w:eastAsia="Arial" w:hAnsi="Arial"/>
          <w:sz w:val="15"/>
          <w:szCs w:val="15"/>
          <w:b w:val="1"/>
          <w:bCs w:val="1"/>
          <w:color w:val="auto"/>
        </w:rPr>
        <w:t xml:space="preserve">Beloningsbeleid: Nadere informatie over het beloningsbeleid van de beheerder, met inbegrip van een beschrijving van de wijze waarop de beloning en de voordelen worden berekend en de identiteit van de personen die verantwoordelijk zijn voor de toekenning van dergelijke beloningen/voordelen, is te vinden op de volgende website: www.hanetf.com.</w:t>
      </w:r>
      <w:r>
        <w:rPr xmlns:w="http://schemas.openxmlformats.org/wordprocessingml/2006/main">
          <w:rFonts w:ascii="Arial" w:cs="Arial" w:eastAsia="Arial" w:hAnsi="Arial"/>
          <w:sz w:val="15"/>
          <w:szCs w:val="15"/>
          <w:b w:val="1"/>
          <w:bCs w:val="1"/>
          <w:color w:val="auto"/>
        </w:rPr>
        <w:t xml:space="preserve"> Een papieren kopie van deze beleidsdetails is op verzoek ook gratis beschikbaar bij de beheerder.</w:t>
      </w:r>
    </w:p>
    <w:p>
      <w:pPr>
        <w:spacing w:after="0" w:line="3" w:lineRule="exact"/>
        <w:rPr>
          <w:sz w:val="20"/>
          <w:szCs w:val="20"/>
          <w:color w:val="auto"/>
        </w:rPr>
      </w:pPr>
    </w:p>
    <w:p>
      <w:pPr xmlns:w="http://schemas.openxmlformats.org/wordprocessingml/2006/main">
        <w:jc w:val="both"/>
        <w:ind w:left="120"/>
        <w:spacing w:after="0" w:line="340" w:lineRule="auto"/>
        <w:rPr>
          <w:sz w:val="20"/>
          <w:szCs w:val="20"/>
          <w:color w:val="auto"/>
        </w:rPr>
      </w:pPr>
      <w:r>
        <w:rPr xmlns:w="http://schemas.openxmlformats.org/wordprocessingml/2006/main">
          <w:rFonts w:ascii="Arial" w:cs="Arial" w:eastAsia="Arial" w:hAnsi="Arial"/>
          <w:sz w:val="14"/>
          <w:szCs w:val="14"/>
          <w:b w:val="1"/>
          <w:bCs w:val="1"/>
          <w:color w:val="auto"/>
        </w:rPr>
        <w:t xml:space="preserve">Prijsinformatie: De intrinsieke waarde van de aandelenklasse is elke werkdag tijdens normale kantooruren beschikbaar op het kantoor van de beheerder en wordt dagelijks gepubliceerd op </w:t>
      </w:r>
      <w:r>
        <w:rPr xmlns:w="http://schemas.openxmlformats.org/wordprocessingml/2006/main">
          <w:rFonts w:ascii="Arial" w:cs="Arial" w:eastAsia="Arial" w:hAnsi="Arial"/>
          <w:sz w:val="14"/>
          <w:szCs w:val="14"/>
          <w:b w:val="1"/>
          <w:bCs w:val="1"/>
          <w:u w:val="single" w:color="auto"/>
          <w:color w:val="0000FF"/>
        </w:rPr>
        <w:t xml:space="preserve">www.hanetf.com</w:t>
      </w:r>
      <w:r>
        <w:rPr xmlns:w="http://schemas.openxmlformats.org/wordprocessingml/2006/main">
          <w:rFonts w:ascii="Arial" w:cs="Arial" w:eastAsia="Arial" w:hAnsi="Arial"/>
          <w:sz w:val="14"/>
          <w:szCs w:val="14"/>
          <w:b w:val="1"/>
          <w:bCs w:val="1"/>
          <w:color w:val="auto"/>
        </w:rPr>
        <w:t xml:space="preserv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64135</wp:posOffset>
            </wp:positionV>
            <wp:extent cx="6163310" cy="38417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163310" cy="384175"/>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256" w:lineRule="exact"/>
        <w:rPr>
          <w:sz w:val="20"/>
          <w:szCs w:val="20"/>
          <w:color w:val="auto"/>
        </w:rPr>
      </w:pPr>
    </w:p>
    <w:p>
      <w:pPr xmlns:w="http://schemas.openxmlformats.org/wordprocessingml/2006/main">
        <w:jc w:val="both"/>
        <w:spacing w:after="0" w:line="269" w:lineRule="auto"/>
        <w:rPr>
          <w:sz w:val="20"/>
          <w:szCs w:val="20"/>
          <w:color w:val="auto"/>
        </w:rPr>
      </w:pPr>
      <w:r>
        <w:rPr xmlns:w="http://schemas.openxmlformats.org/wordprocessingml/2006/main">
          <w:rFonts w:ascii="Arial" w:cs="Arial" w:eastAsia="Arial" w:hAnsi="Arial"/>
          <w:sz w:val="16"/>
          <w:szCs w:val="16"/>
          <w:b w:val="1"/>
          <w:bCs w:val="1"/>
          <w:color w:val="auto"/>
        </w:rPr>
        <w:t xml:space="preserve">Overstappen: Het wisselen van aandelen tussen subfondsen van HANetf ICAV is niet mogelijk voor beleggers die aandelen kopen op ruil.</w:t>
      </w:r>
      <w:r>
        <w:rPr xmlns:w="http://schemas.openxmlformats.org/wordprocessingml/2006/main">
          <w:rFonts w:ascii="Arial" w:cs="Arial" w:eastAsia="Arial" w:hAnsi="Arial"/>
          <w:sz w:val="16"/>
          <w:szCs w:val="16"/>
          <w:b w:val="1"/>
          <w:bCs w:val="1"/>
          <w:color w:val="auto"/>
        </w:rPr>
        <w:t xml:space="preserve"> Overstappen kan beschikbaar zijn voor geautoriseerde deelnemers die rechtstreeks met het Fonds te maken hebben.</w:t>
      </w:r>
    </w:p>
    <w:p>
      <w:pPr>
        <w:spacing w:after="0" w:line="1" w:lineRule="exact"/>
        <w:rPr>
          <w:sz w:val="20"/>
          <w:szCs w:val="20"/>
          <w:color w:val="auto"/>
        </w:rPr>
      </w:pPr>
    </w:p>
    <w:p>
      <w:pPr xmlns:w="http://schemas.openxmlformats.org/wordprocessingml/2006/main">
        <w:jc w:val="both"/>
        <w:spacing w:after="0" w:line="287" w:lineRule="auto"/>
        <w:rPr>
          <w:sz w:val="20"/>
          <w:szCs w:val="20"/>
          <w:color w:val="auto"/>
        </w:rPr>
      </w:pPr>
      <w:r>
        <w:rPr xmlns:w="http://schemas.openxmlformats.org/wordprocessingml/2006/main">
          <w:rFonts w:ascii="Arial" w:cs="Arial" w:eastAsia="Arial" w:hAnsi="Arial"/>
          <w:sz w:val="15"/>
          <w:szCs w:val="15"/>
          <w:b w:val="1"/>
          <w:bCs w:val="1"/>
          <w:color w:val="auto"/>
        </w:rPr>
        <w:t xml:space="preserve">Het Fonds is een subfonds van HANetf ICAV, een overkoepelend Iers collectief vermogensbeheervehikel.</w:t>
      </w:r>
      <w:r>
        <w:rPr xmlns:w="http://schemas.openxmlformats.org/wordprocessingml/2006/main">
          <w:rFonts w:ascii="Arial" w:cs="Arial" w:eastAsia="Arial" w:hAnsi="Arial"/>
          <w:sz w:val="15"/>
          <w:szCs w:val="15"/>
          <w:b w:val="1"/>
          <w:bCs w:val="1"/>
          <w:color w:val="auto"/>
        </w:rPr>
        <w:t xml:space="preserve"> Naar Iers recht zijn de activa en passiva van het Fonds gescheiden van andere subfondsen binnen HANetf ICAV en zijn de activa van het Fonds niet beschikbaar om te voldoen aan de verplichtingen van een ander fonds van HANetf ICAV.</w:t>
      </w:r>
    </w:p>
    <w:p>
      <w:pPr>
        <w:spacing w:after="0" w:line="3" w:lineRule="exact"/>
        <w:rPr>
          <w:sz w:val="20"/>
          <w:szCs w:val="20"/>
          <w:color w:val="auto"/>
        </w:rPr>
      </w:pPr>
    </w:p>
    <w:p>
      <w:pPr xmlns:w="http://schemas.openxmlformats.org/wordprocessingml/2006/main">
        <w:jc w:val="both"/>
        <w:spacing w:after="0" w:line="253" w:lineRule="auto"/>
        <w:rPr>
          <w:sz w:val="20"/>
          <w:szCs w:val="20"/>
          <w:color w:val="auto"/>
        </w:rPr>
      </w:pPr>
      <w:r>
        <w:rPr xmlns:w="http://schemas.openxmlformats.org/wordprocessingml/2006/main">
          <w:rFonts w:ascii="Arial" w:cs="Arial" w:eastAsia="Arial" w:hAnsi="Arial"/>
          <w:sz w:val="17"/>
          <w:szCs w:val="17"/>
          <w:b w:val="1"/>
          <w:bCs w:val="1"/>
          <w:color w:val="auto"/>
        </w:rPr>
        <w:t xml:space="preserve">Belastingen: HANetf ICAV is voor belastingdoeleinden woonachtig in Ierland.</w:t>
      </w:r>
      <w:r>
        <w:rPr xmlns:w="http://schemas.openxmlformats.org/wordprocessingml/2006/main">
          <w:rFonts w:ascii="Arial" w:cs="Arial" w:eastAsia="Arial" w:hAnsi="Arial"/>
          <w:sz w:val="17"/>
          <w:szCs w:val="17"/>
          <w:b w:val="1"/>
          <w:bCs w:val="1"/>
          <w:color w:val="auto"/>
        </w:rPr>
        <w:t xml:space="preserve"> De Ierse belastingwetgeving kan van invloed zijn op de persoonlijke belastingpositie van een belegger.</w:t>
      </w:r>
    </w:p>
    <w:p>
      <w:pPr>
        <w:spacing w:after="0" w:line="1" w:lineRule="exact"/>
        <w:rPr>
          <w:sz w:val="20"/>
          <w:szCs w:val="20"/>
          <w:color w:val="auto"/>
        </w:rPr>
      </w:pPr>
    </w:p>
    <w:p>
      <w:pPr xmlns:w="http://schemas.openxmlformats.org/wordprocessingml/2006/main">
        <w:jc w:val="both"/>
        <w:spacing w:after="0" w:line="278" w:lineRule="auto"/>
        <w:rPr>
          <w:sz w:val="20"/>
          <w:szCs w:val="20"/>
          <w:color w:val="auto"/>
        </w:rPr>
      </w:pPr>
      <w:r>
        <w:rPr xmlns:w="http://schemas.openxmlformats.org/wordprocessingml/2006/main">
          <w:rFonts w:ascii="Arial" w:cs="Arial" w:eastAsia="Arial" w:hAnsi="Arial"/>
          <w:sz w:val="16"/>
          <w:szCs w:val="16"/>
          <w:b w:val="1"/>
          <w:bCs w:val="1"/>
          <w:color w:val="auto"/>
        </w:rPr>
        <w:t xml:space="preserve">Aansprakelijkheidsverklaring: De beheerder kan alleen aansprakelijk worden gesteld op basis van een verklaring in dit document die misleidend, onnauwkeurig of inconsistent is met de relevante delen van het 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2810510</wp:posOffset>
            </wp:positionH>
            <wp:positionV relativeFrom="paragraph">
              <wp:posOffset>226695</wp:posOffset>
            </wp:positionV>
            <wp:extent cx="6350" cy="37782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6350" cy="377825"/>
                    </a:xfrm>
                    <a:prstGeom prst="rect">
                      <a:avLst/>
                    </a:prstGeom>
                    <a:noFill/>
                  </pic:spPr>
                </pic:pic>
              </a:graphicData>
            </a:graphic>
          </wp:anchor>
        </w:drawing>
      </w:r>
    </w:p>
    <w:p>
      <w:pPr>
        <w:spacing w:after="0" w:line="356" w:lineRule="exact"/>
        <w:rPr>
          <w:sz w:val="20"/>
          <w:szCs w:val="20"/>
          <w:color w:val="auto"/>
        </w:rPr>
      </w:pPr>
    </w:p>
    <w:p>
      <w:pPr>
        <w:sectPr>
          <w:pgSz w:w="12240" w:h="15840" w:orient="portrait"/>
          <w:cols w:equalWidth="0" w:num="2">
            <w:col w:w="5080" w:space="200"/>
            <w:col w:w="4320"/>
          </w:cols>
          <w:pgMar w:left="1440" w:top="679" w:right="1200" w:bottom="448" w:gutter="0" w:footer="0" w:header="0"/>
          <w:type w:val="continuous"/>
        </w:sect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Dit fonds is goedgekeurd in Ierland en wordt gereguleerd door de Central Bank of Ireland.</w:t>
      </w:r>
    </w:p>
    <w:p>
      <w:pPr>
        <w:spacing w:after="0" w:line="12"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3"/>
          <w:szCs w:val="13"/>
          <w:b w:val="1"/>
          <w:bCs w:val="1"/>
          <w:color w:val="auto"/>
        </w:rPr>
        <w:t xml:space="preserve">HANetf Management Limited is geautoriseerd in Ierland en wordt gereguleerd door de Central Bank of Ireland.</w:t>
      </w:r>
    </w:p>
    <w:p>
      <w:pPr>
        <w:spacing w:after="0" w:line="45"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Deze essentiële beleggersinformatie is nauwkeurig vanaf 14.07.2023.</w:t>
      </w:r>
    </w:p>
    <w:sectPr>
      <w:pgSz w:w="12240" w:h="15840" w:orient="portrait"/>
      <w:cols w:equalWidth="0" w:num="1">
        <w:col w:w="9600"/>
      </w:cols>
      <w:pgMar w:left="1440" w:top="679" w:right="1200" w:bottom="448"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A3A5CAB"/>
    <w:multiLevelType w:val="hybridMultilevel"/>
    <w:lvl w:ilvl="0">
      <w:lvlJc w:val="left"/>
      <w:lvlText w:val=" "/>
      <w:numFmt w:val="bullet"/>
      <w:start w:val="1"/>
    </w:lvl>
  </w:abstractNum>
  <w:abstractNum w:abstractNumId="1">
    <w:nsid w:val="1DE48F3F"/>
    <w:multiLevelType w:val="hybridMultilevel"/>
    <w:lvl w:ilvl="0">
      <w:lvlJc w:val="left"/>
      <w:lvlText w:val=" "/>
      <w:numFmt w:val="bullet"/>
      <w:start w:val="1"/>
    </w:lvl>
  </w:abstractNum>
  <w:abstractNum w:abstractNumId="2">
    <w:nsid w:val="3D4D6147"/>
    <w:multiLevelType w:val="hybridMultilevel"/>
    <w:lvl w:ilvl="0">
      <w:lvlJc w:val="left"/>
      <w:lvlText w:val=" "/>
      <w:numFmt w:val="bullet"/>
      <w:start w:val="1"/>
    </w:lvl>
  </w:abstractNum>
  <w:abstractNum w:abstractNumId="3">
    <w:nsid w:val="39E1D0AB"/>
    <w:multiLevelType w:val="hybridMultilevel"/>
    <w:lvl w:ilvl="0">
      <w:lvlJc w:val="left"/>
      <w:lvlText w:val=" "/>
      <w:numFmt w:val="bullet"/>
      <w:start w:val="1"/>
    </w:lvl>
  </w:abstractNum>
  <w:abstractNum w:abstractNumId="4">
    <w:nsid w:val="6B32E24C"/>
    <w:multiLevelType w:val="hybridMultilevel"/>
    <w:lvl w:ilvl="0">
      <w:lvlJc w:val="left"/>
      <w:lvlText w:val=" "/>
      <w:numFmt w:val="bullet"/>
      <w:start w:val="1"/>
    </w:lvl>
  </w:abstractNum>
  <w:abstractNum w:abstractNumId="5">
    <w:nsid w:val="70F75E8"/>
    <w:multiLevelType w:val="hybridMultilevel"/>
    <w:lvl w:ilvl="0">
      <w:lvlJc w:val="left"/>
      <w:lvlText w:val="*"/>
      <w:numFmt w:val="bullet"/>
      <w:start w:val="1"/>
    </w:lvl>
  </w:abstractNum>
  <w:abstractNum w:abstractNumId="6">
    <w:nsid w:val="1C1EB0CA"/>
    <w:multiLevelType w:val="hybridMultilevel"/>
    <w:lvl w:ilvl="0">
      <w:lvlJc w:val="left"/>
      <w:lvlText w:val="*"/>
      <w:numFmt w:val="bullet"/>
      <w:start w:val="1"/>
    </w:lvl>
  </w:abstractNum>
  <w:abstractNum w:abstractNumId="7">
    <w:nsid w:val="27A447E9"/>
    <w:multiLevelType w:val="hybridMultilevel"/>
    <w:lvl w:ilvl="0">
      <w:lvlJc w:val="left"/>
      <w:lvlText w:val=" "/>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2024-06-24T11:39:15Z</dcterms:created>
  <dcterms:modified xsi:type="dcterms:W3CDTF">2024-06-24T11:39:15Z</dcterms:modified>
</cp:coreProperties>
</file>