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5"/>
          <w:szCs w:val="25"/>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635000</wp:posOffset>
            </wp:positionH>
            <wp:positionV relativeFrom="page">
              <wp:posOffset>381000</wp:posOffset>
            </wp:positionV>
            <wp:extent cx="1778000" cy="449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778000" cy="449580"/>
                    </a:xfrm>
                    <a:prstGeom prst="rect">
                      <a:avLst/>
                    </a:prstGeom>
                    <a:noFill/>
                  </pic:spPr>
                </pic:pic>
              </a:graphicData>
            </a:graphic>
          </wp:anchor>
        </w:drawing>
      </w:r>
      <w:r>
        <w:rPr xmlns:w="http://schemas.openxmlformats.org/wordprocessingml/2006/main">
          <w:rFonts w:ascii="Arial" w:cs="Arial" w:eastAsia="Arial" w:hAnsi="Arial"/>
          <w:sz w:val="25"/>
          <w:szCs w:val="25"/>
          <w:color w:val="auto"/>
        </w:rPr>
        <w:t xml:space="preserve">Belangrijke beleggersinformatie</w:t>
      </w:r>
    </w:p>
    <w:p>
      <w:pPr>
        <w:spacing w:after="0" w:line="125" w:lineRule="exact"/>
        <w:rPr>
          <w:sz w:val="24"/>
          <w:szCs w:val="24"/>
          <w:color w:val="auto"/>
        </w:rPr>
      </w:pPr>
    </w:p>
    <w:p>
      <w:pPr xmlns:w="http://schemas.openxmlformats.org/wordprocessingml/2006/main">
        <w:jc w:val="both"/>
        <w:spacing w:after="0" w:line="280" w:lineRule="auto"/>
        <w:rPr>
          <w:sz w:val="20"/>
          <w:szCs w:val="20"/>
          <w:color w:val="auto"/>
        </w:rPr>
      </w:pPr>
      <w:r>
        <w:rPr xmlns:w="http://schemas.openxmlformats.org/wordprocessingml/2006/main">
          <w:rFonts w:ascii="Arial" w:cs="Arial" w:eastAsia="Arial" w:hAnsi="Arial"/>
          <w:sz w:val="16"/>
          <w:szCs w:val="16"/>
          <w:color w:val="auto"/>
        </w:rPr>
        <w:t xml:space="preserve">In dit document vindt u essentiële beleggersinformatie over deze icbe (het "Fonds").</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en de risico's van beleggen in dit fonds te begrijpen.</w:t>
      </w:r>
      <w:r>
        <w:rPr xmlns:w="http://schemas.openxmlformats.org/wordprocessingml/2006/main">
          <w:rFonts w:ascii="Arial" w:cs="Arial" w:eastAsia="Arial" w:hAnsi="Arial"/>
          <w:sz w:val="16"/>
          <w:szCs w:val="16"/>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34290</wp:posOffset>
                </wp:positionV>
                <wp:extent cx="6290310" cy="4826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482600"/>
                        </a:xfrm>
                        <a:prstGeom prst="rect">
                          <a:avLst/>
                        </a:prstGeom>
                        <a:solidFill>
                          <a:srgbClr val="EE7F00"/>
                        </a:solidFill>
                      </wps:spPr>
                      <wps:bodyPr/>
                    </wps:wsp>
                  </a:graphicData>
                </a:graphic>
              </wp:anchor>
            </w:drawing>
          </mc:Choice>
          <mc:Fallback>
            <w:pict>
              <v:rect id="Shape 2" o:spid="_x0000_s1027" style="position:absolute;margin-left:0pt;margin-top:2.7pt;width:495.3pt;height:3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70" w:lineRule="exact"/>
        <w:rPr>
          <w:sz w:val="24"/>
          <w:szCs w:val="24"/>
          <w:color w:val="auto"/>
        </w:rPr>
      </w:pPr>
    </w:p>
    <w:p>
      <w:pPr xmlns:w="http://schemas.openxmlformats.org/wordprocessingml/2006/main">
        <w:ind w:left="60" w:right="4220"/>
        <w:spacing w:after="0" w:line="321" w:lineRule="auto"/>
        <w:rPr>
          <w:sz w:val="20"/>
          <w:szCs w:val="20"/>
          <w:color w:val="auto"/>
        </w:rPr>
      </w:pPr>
      <w:r>
        <w:rPr xmlns:w="http://schemas.openxmlformats.org/wordprocessingml/2006/main">
          <w:rFonts w:ascii="Arial" w:cs="Arial" w:eastAsia="Arial" w:hAnsi="Arial"/>
          <w:sz w:val="24"/>
          <w:szCs w:val="24"/>
          <w:b w:val="1"/>
          <w:bCs w:val="1"/>
          <w:color w:val="FFFFFF"/>
          <w:shd w:val="clear" w:color="auto" w:fill="EE7F00"/>
        </w:rPr>
        <w:t xml:space="preserve">Amundi MSCI Water ESG Screende UCITS ETF een subfonds van de MULTI UNITS FRANCE SICAV</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55245</wp:posOffset>
                </wp:positionV>
                <wp:extent cx="6290310" cy="29845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298450"/>
                        </a:xfrm>
                        <a:prstGeom prst="rect">
                          <a:avLst/>
                        </a:prstGeom>
                        <a:solidFill>
                          <a:srgbClr val="EE7F00"/>
                        </a:solidFill>
                      </wps:spPr>
                      <wps:bodyPr/>
                    </wps:wsp>
                  </a:graphicData>
                </a:graphic>
              </wp:anchor>
            </w:drawing>
          </mc:Choice>
          <mc:Fallback>
            <w:pict>
              <v:rect id="Shape 3" o:spid="_x0000_s1028" style="position:absolute;margin-left:0pt;margin-top:4.35pt;width:495.3pt;height:23.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10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5"/>
          <w:szCs w:val="25"/>
          <w:b w:val="1"/>
          <w:bCs w:val="1"/>
          <w:color w:val="FFFFFF"/>
          <w:shd w:val="clear" w:color="auto" w:fill="EE7F00"/>
        </w:rPr>
        <w:t xml:space="preserve">Amundi MSCI Water ESG gescreend UCITS ETF Dist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118745</wp:posOffset>
                </wp:positionV>
                <wp:extent cx="6286500" cy="41910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6500" cy="419100"/>
                        </a:xfrm>
                        <a:prstGeom prst="rect">
                          <a:avLst/>
                        </a:prstGeom>
                        <a:solidFill>
                          <a:srgbClr val="EE7F00"/>
                        </a:solidFill>
                      </wps:spPr>
                      <wps:bodyPr/>
                    </wps:wsp>
                  </a:graphicData>
                </a:graphic>
              </wp:anchor>
            </w:drawing>
          </mc:Choice>
          <mc:Fallback>
            <w:pict>
              <v:rect id="Shape 4" o:spid="_x0000_s1029" style="position:absolute;margin-left:0pt;margin-top:9.35pt;width:495pt;height:3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171"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FFFFFF"/>
        </w:rPr>
        <w:t xml:space="preserve">ISIN-code: (C/D) FR0010527275</w:t>
      </w:r>
    </w:p>
    <w:p>
      <w:pPr>
        <w:spacing w:after="0" w:line="7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Dit fonds wordt beheerd door Amundi Asset Management, een bedrijf van Amundi</w:t>
      </w:r>
    </w:p>
    <w:p>
      <w:pPr>
        <w:spacing w:after="0" w:line="130"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Doelstellingen en beleggingsbeleid</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86500" cy="15176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6500" cy="151765"/>
                        </a:xfrm>
                        <a:prstGeom prst="rect">
                          <a:avLst/>
                        </a:prstGeom>
                        <a:solidFill>
                          <a:srgbClr val="AFAFAF"/>
                        </a:solidFill>
                      </wps:spPr>
                      <wps:bodyPr/>
                    </wps:wsp>
                  </a:graphicData>
                </a:graphic>
              </wp:anchor>
            </w:drawing>
          </mc:Choice>
          <mc:Fallback>
            <w:pict>
              <v:rect id="Shape 5" o:spid="_x0000_s1030" style="position:absolute;margin-left:0pt;margin-top:-10.8499pt;width:495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fonds is een passief beheerde index-tracking icbe.</w:t>
      </w:r>
    </w:p>
    <w:p>
      <w:pPr>
        <w:spacing w:after="0" w:line="2"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Het doel van het fonds is om de verandering in de in USD luidende MSCI ACWI IMI Water ESG Filtered Net Total Return Index (netto geherinvesteerde dividenden) (de "Benchmark Index") te repliceren, zowel naar boven als naar beneden, terwijl de tracking error tussen de prestaties van het fonds en die van zijn Benchmark Index wordt geminimaliseerd.</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 onder normale marktomstandigheden te verwachten tracking error wordt in het prospectus van het Fonds vermeld.</w:t>
      </w:r>
    </w:p>
    <w:p>
      <w:pPr>
        <w:spacing w:after="0" w:line="19"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benchmarkindex is bedoeld om de prestaties weer te geven van effecten waarvan de activiteiten verband houden met de watersector, waaronder waterdistributie, openbare nutsbedrijven en de levering van apparatuur met betrekking tot water en waterzuivering, en sluit bedrijven uit die achterlopen op het niveau van milieu, sociaal beleid en bestuur (ESG), met name op basis van ESG-ratings.</w:t>
      </w:r>
    </w:p>
    <w:p>
      <w:pPr>
        <w:spacing w:after="0" w:line="1"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ESG-beoordelingsmethodologie is gebaseerd op belangrijke ESG-kwesties, waaronder, maar niet beperkt tot, waterstress, koolstofemissies, personeelsbeheer en bedrijfsethiek.</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benchmarkindex maakt gebruik van een best-in-class benadering, wat betekent dat bedrijven met een industrie-gecorrigeerde ESG-rating in het lagere kwartiel worden uitgesloten van het beleggingsuniversum.</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Voor meer informatie over de algemene en specifieke milieu-, sociale en governancedoelstellingen van het subfonds, raadpleegt u de transparantiecode van het subfonds op https://amundietf.com/.</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limieten van de methodologie voor de benchmarkindex worden in het prospectus van het Fonds beschreven aan de hand van risicofactoren zoals het marktrisico in verband met controverses en risico's in verband met ESG-methodologieën en de berekening van ESG-scores.</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Aanvullende informatie over de MSCI-indices is te vinden op de MSCI-website (www.msci.com).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Fonds streeft ernaar zijn doel te bereiken door middel van directe replicatie, d.w.z. door voornamelijk te investeren in de componenten van de Benchmark-index.</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Om de replicatie van de Benchmark-index te optimaliseren, kan het Fonds een steekproeftechniek gebruiken.</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mogelijke gebruik van deze techniek wordt aangegeven op amundietf.com.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 huidige samenstelling van de portefeuille van het Fonds is te vinden op amundietf.com.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Bovendien wordt de intrinsieke waarde gepubliceerd op de Reuters- en Bloomberg-pagina's van het Fonds en kan deze ook op de websites van zijn markten verschijnen.</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 nettowinst van het Fonds en de gerealiseerde nettovermogenswinst worden jaarlijks herbelegd of herverdeeld naar goeddunken van de Beheermaatschappij.</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U mag uw aandelen doorverkopen tijdens de handelsuren van de verschillende beurzen, op voorwaarde dat de Market Makers de marktliquiditeit kunnen behouden.</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Aanbeveling: deze SICAV is mogelijk niet geschikt voor beleggers die van plan zijn om hun geld binnen 5 jaar op te nemen.</w:t>
      </w:r>
    </w:p>
    <w:p>
      <w:pPr>
        <w:sectPr>
          <w:pgSz w:w="11900" w:h="16838" w:orient="portrait"/>
          <w:cols w:equalWidth="0" w:num="1">
            <w:col w:w="9900"/>
          </w:cols>
          <w:pgMar w:left="1000" w:top="1279" w:right="1006" w:bottom="0" w:gutter="0" w:footer="0" w:header="0"/>
        </w:sectPr>
      </w:pPr>
    </w:p>
    <w:p>
      <w:pPr>
        <w:spacing w:after="0" w:line="193"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Risico- en beloningsprofiel</w:t>
      </w:r>
    </w:p>
    <w:p>
      <w:pPr>
        <w:spacing w:after="0" w:line="54" w:lineRule="exact"/>
        <w:rPr>
          <w:sz w:val="24"/>
          <w:szCs w:val="24"/>
          <w:color w:val="auto"/>
        </w:rPr>
      </w:pPr>
    </w:p>
    <w:tbl>
      <w:tblPr>
        <w:tblLayout w:type="fixed"/>
        <w:tblInd w:w="110" w:type="dxa"/>
        <w:tblCellMar>
          <w:top w:w="0" w:type="dxa"/>
          <w:left w:w="0" w:type="dxa"/>
          <w:bottom w:w="0" w:type="dxa"/>
          <w:right w:w="0" w:type="dxa"/>
        </w:tblCellMar>
      </w:tblPr>
      <w:tr>
        <w:trPr>
          <w:trHeight w:val="161"/>
        </w:trPr>
        <w:tc>
          <w:tcPr>
            <w:tcW w:w="7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2"/>
                <w:szCs w:val="12"/>
                <w:color w:val="auto"/>
              </w:rPr>
              <w:t xml:space="preserve">Minder risico</w:t>
            </w: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2"/>
                <w:szCs w:val="12"/>
                <w:color w:val="auto"/>
              </w:rPr>
              <w:t xml:space="preserve">Hoger risico</w:t>
            </w:r>
          </w:p>
        </w:tc>
        <w:tc>
          <w:tcPr>
            <w:tcW w:w="0" w:type="dxa"/>
            <w:vAlign w:val="bottom"/>
          </w:tcPr>
          <w:p>
            <w:pPr>
              <w:spacing w:after="0"/>
              <w:rPr>
                <w:sz w:val="1"/>
                <w:szCs w:val="1"/>
                <w:color w:val="auto"/>
              </w:rPr>
            </w:pPr>
          </w:p>
        </w:tc>
      </w:tr>
      <w:tr>
        <w:trPr>
          <w:trHeight w:val="411"/>
        </w:trPr>
        <w:tc>
          <w:tcPr>
            <w:tcW w:w="138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2"/>
                <w:szCs w:val="12"/>
                <w:color w:val="auto"/>
              </w:rPr>
              <w:t xml:space="preserve">Typisch lagere beloningen</w:t>
            </w:r>
          </w:p>
        </w:tc>
        <w:tc>
          <w:tcPr>
            <w:tcW w:w="6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36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2"/>
                <w:szCs w:val="12"/>
                <w:color w:val="auto"/>
              </w:rPr>
              <w:t xml:space="preserve">Typisch hogere beloningen</w:t>
            </w:r>
          </w:p>
        </w:tc>
        <w:tc>
          <w:tcPr>
            <w:tcW w:w="0" w:type="dxa"/>
            <w:vAlign w:val="bottom"/>
          </w:tcPr>
          <w:p>
            <w:pPr>
              <w:spacing w:after="0"/>
              <w:rPr>
                <w:sz w:val="1"/>
                <w:szCs w:val="1"/>
                <w:color w:val="auto"/>
              </w:rPr>
            </w:pPr>
          </w:p>
        </w:tc>
      </w:tr>
      <w:tr>
        <w:trPr>
          <w:trHeight w:val="45"/>
        </w:trPr>
        <w:tc>
          <w:tcPr>
            <w:tcW w:w="70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260" w:type="dxa"/>
            <w:vAlign w:val="bottom"/>
            <w:tcBorders>
              <w:bottom w:val="single" w:sz="8" w:color="auto"/>
            </w:tcBorders>
          </w:tcPr>
          <w:p>
            <w:pPr>
              <w:spacing w:after="0"/>
              <w:rPr>
                <w:sz w:val="3"/>
                <w:szCs w:val="3"/>
                <w:color w:val="auto"/>
              </w:rPr>
            </w:pPr>
          </w:p>
        </w:tc>
        <w:tc>
          <w:tcPr>
            <w:tcW w:w="420" w:type="dxa"/>
            <w:vAlign w:val="bottom"/>
            <w:tcBorders>
              <w:bottom w:val="single" w:sz="8" w:color="auto"/>
            </w:tcBorders>
          </w:tcPr>
          <w:p>
            <w:pPr>
              <w:spacing w:after="0"/>
              <w:rPr>
                <w:sz w:val="3"/>
                <w:szCs w:val="3"/>
                <w:color w:val="auto"/>
              </w:rPr>
            </w:pPr>
          </w:p>
        </w:tc>
        <w:tc>
          <w:tcPr>
            <w:tcW w:w="70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64"/>
        </w:trPr>
        <w:tc>
          <w:tcPr>
            <w:tcW w:w="700" w:type="dxa"/>
            <w:vAlign w:val="bottom"/>
            <w:tcBorders>
              <w:left w:val="single" w:sz="8" w:color="auto"/>
              <w:right w:val="single" w:sz="8" w:color="auto"/>
            </w:tcBorders>
            <w:vMerge w:val="restart"/>
          </w:tcPr>
          <w:p>
            <w:pPr xmlns:w="http://schemas.openxmlformats.org/wordprocessingml/2006/main">
              <w:jc w:val="right"/>
              <w:ind w:right="242"/>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1</w:t>
            </w:r>
          </w:p>
        </w:tc>
        <w:tc>
          <w:tcPr>
            <w:tcW w:w="680" w:type="dxa"/>
            <w:vAlign w:val="bottom"/>
            <w:tcBorders>
              <w:right w:val="single" w:sz="8" w:color="auto"/>
            </w:tcBorders>
            <w:vMerge w:val="restart"/>
          </w:tcPr>
          <w:p>
            <w:pPr xmlns:w="http://schemas.openxmlformats.org/wordprocessingml/2006/main">
              <w:jc w:val="right"/>
              <w:ind w:right="22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2</w:t>
            </w:r>
          </w:p>
        </w:tc>
        <w:tc>
          <w:tcPr>
            <w:tcW w:w="66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3</w:t>
            </w:r>
          </w:p>
        </w:tc>
        <w:tc>
          <w:tcPr>
            <w:tcW w:w="68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4</w:t>
            </w:r>
          </w:p>
        </w:tc>
        <w:tc>
          <w:tcPr>
            <w:tcW w:w="68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5</w:t>
            </w:r>
          </w:p>
        </w:tc>
        <w:tc>
          <w:tcPr>
            <w:tcW w:w="260" w:type="dxa"/>
            <w:vAlign w:val="bottom"/>
            <w:vMerge w:val="restart"/>
            <w:shd w:val="clear" w:color="auto" w:fill="AFAEAE"/>
          </w:tcPr>
          <w:p>
            <w:pPr>
              <w:spacing w:after="0"/>
              <w:rPr>
                <w:sz w:val="22"/>
                <w:szCs w:val="22"/>
                <w:color w:val="auto"/>
              </w:rPr>
            </w:pPr>
          </w:p>
        </w:tc>
        <w:tc>
          <w:tcPr>
            <w:tcW w:w="420" w:type="dxa"/>
            <w:vAlign w:val="bottom"/>
            <w:tcBorders>
              <w:right w:val="single" w:sz="8" w:color="auto"/>
            </w:tcBorders>
            <w:shd w:val="clear" w:color="auto" w:fill="AFAEAE"/>
          </w:tcPr>
          <w:p>
            <w:pPr xmlns:w="http://schemas.openxmlformats.org/wordprocessingml/2006/main">
              <w:jc w:val="right"/>
              <w:ind w:right="190"/>
              <w:spacing w:after="0"/>
              <w:rPr>
                <w:sz w:val="20"/>
                <w:szCs w:val="20"/>
                <w:color w:val="auto"/>
              </w:rPr>
            </w:pPr>
            <w:r>
              <w:rPr xmlns:w="http://schemas.openxmlformats.org/wordprocessingml/2006/main">
                <w:rFonts w:ascii="Arial" w:cs="Arial" w:eastAsia="Arial" w:hAnsi="Arial"/>
                <w:sz w:val="22"/>
                <w:szCs w:val="22"/>
                <w:b w:val="1"/>
                <w:bCs w:val="1"/>
                <w:color w:val="auto"/>
                <w:highlight w:val="darkGray"/>
                <w:w w:val="81"/>
              </w:rPr>
              <w:t xml:space="preserve">6</w:t>
            </w:r>
          </w:p>
        </w:tc>
        <w:tc>
          <w:tcPr>
            <w:tcW w:w="700" w:type="dxa"/>
            <w:vAlign w:val="bottom"/>
            <w:tcBorders>
              <w:right w:val="single" w:sz="8" w:color="auto"/>
            </w:tcBorders>
            <w:vMerge w:val="restart"/>
          </w:tcPr>
          <w:p>
            <w:pPr xmlns:w="http://schemas.openxmlformats.org/wordprocessingml/2006/main">
              <w:jc w:val="right"/>
              <w:ind w:right="233"/>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7</w:t>
            </w:r>
          </w:p>
        </w:tc>
        <w:tc>
          <w:tcPr>
            <w:tcW w:w="0" w:type="dxa"/>
            <w:vAlign w:val="bottom"/>
          </w:tcPr>
          <w:p>
            <w:pPr>
              <w:spacing w:after="0"/>
              <w:rPr>
                <w:sz w:val="1"/>
                <w:szCs w:val="1"/>
                <w:color w:val="auto"/>
              </w:rPr>
            </w:pPr>
          </w:p>
        </w:tc>
      </w:tr>
      <w:tr>
        <w:trPr>
          <w:trHeight w:val="86"/>
        </w:trPr>
        <w:tc>
          <w:tcPr>
            <w:tcW w:w="700" w:type="dxa"/>
            <w:vAlign w:val="bottom"/>
            <w:tcBorders>
              <w:left w:val="single" w:sz="8" w:color="auto"/>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660" w:type="dxa"/>
            <w:vAlign w:val="bottom"/>
            <w:tcBorders>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260" w:type="dxa"/>
            <w:vAlign w:val="bottom"/>
            <w:vMerge w:val="continue"/>
            <w:shd w:val="clear" w:color="auto" w:fill="AFAEAE"/>
          </w:tcPr>
          <w:p>
            <w:pPr>
              <w:spacing w:after="0"/>
              <w:rPr>
                <w:sz w:val="7"/>
                <w:szCs w:val="7"/>
                <w:color w:val="auto"/>
              </w:rPr>
            </w:pPr>
          </w:p>
        </w:tc>
        <w:tc>
          <w:tcPr>
            <w:tcW w:w="420" w:type="dxa"/>
            <w:vAlign w:val="bottom"/>
            <w:tcBorders>
              <w:right w:val="single" w:sz="8" w:color="auto"/>
            </w:tcBorders>
            <w:shd w:val="clear" w:color="auto" w:fill="AFAEAE"/>
          </w:tcPr>
          <w:p>
            <w:pPr>
              <w:spacing w:after="0"/>
              <w:rPr>
                <w:sz w:val="7"/>
                <w:szCs w:val="7"/>
                <w:color w:val="auto"/>
              </w:rPr>
            </w:pPr>
          </w:p>
        </w:tc>
        <w:tc>
          <w:tcPr>
            <w:tcW w:w="70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0"/>
        </w:trPr>
        <w:tc>
          <w:tcPr>
            <w:tcW w:w="700" w:type="dxa"/>
            <w:vAlign w:val="bottom"/>
            <w:tcBorders>
              <w:left w:val="single" w:sz="8" w:color="auto"/>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260" w:type="dxa"/>
            <w:vAlign w:val="bottom"/>
            <w:tcBorders>
              <w:bottom w:val="single" w:sz="8" w:color="auto"/>
            </w:tcBorders>
            <w:shd w:val="clear" w:color="auto" w:fill="AFAEAE"/>
          </w:tcPr>
          <w:p>
            <w:pPr>
              <w:spacing w:after="0"/>
              <w:rPr>
                <w:sz w:val="6"/>
                <w:szCs w:val="6"/>
                <w:color w:val="auto"/>
              </w:rPr>
            </w:pPr>
          </w:p>
        </w:tc>
        <w:tc>
          <w:tcPr>
            <w:tcW w:w="420" w:type="dxa"/>
            <w:vAlign w:val="bottom"/>
            <w:tcBorders>
              <w:bottom w:val="single" w:sz="8" w:color="auto"/>
              <w:right w:val="single" w:sz="8" w:color="auto"/>
            </w:tcBorders>
            <w:shd w:val="clear" w:color="auto" w:fill="AFAEAE"/>
          </w:tcPr>
          <w:p>
            <w:pPr>
              <w:spacing w:after="0"/>
              <w:rPr>
                <w:sz w:val="6"/>
                <w:szCs w:val="6"/>
                <w:color w:val="auto"/>
              </w:rPr>
            </w:pPr>
          </w:p>
        </w:tc>
        <w:tc>
          <w:tcPr>
            <w:tcW w:w="7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41275</wp:posOffset>
            </wp:positionH>
            <wp:positionV relativeFrom="paragraph">
              <wp:posOffset>-585470</wp:posOffset>
            </wp:positionV>
            <wp:extent cx="3060700" cy="1847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060700" cy="184785"/>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risiconiveau van het Fonds weerspiegelt zijn internationale beleggingsthema voor aandelen.</w:t>
      </w:r>
    </w:p>
    <w:p>
      <w:pPr>
        <w:spacing w:after="0" w:line="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Het initiële kapitaal dat is geïnvesteerd is niet gegarandeerd.</w:t>
      </w:r>
    </w:p>
    <w:p>
      <w:pPr>
        <w:spacing w:after="0" w:line="19" w:lineRule="exact"/>
        <w:rPr>
          <w:sz w:val="24"/>
          <w:szCs w:val="24"/>
          <w:color w:val="auto"/>
        </w:rPr>
      </w:pPr>
    </w:p>
    <w:p>
      <w:pPr xmlns:w="http://schemas.openxmlformats.org/wordprocessingml/2006/main">
        <w:spacing w:after="0" w:line="277" w:lineRule="auto"/>
        <w:rPr>
          <w:sz w:val="20"/>
          <w:szCs w:val="20"/>
          <w:color w:val="auto"/>
        </w:rPr>
      </w:pPr>
      <w:r>
        <w:rPr xmlns:w="http://schemas.openxmlformats.org/wordprocessingml/2006/main">
          <w:rFonts w:ascii="Arial" w:cs="Arial" w:eastAsia="Arial" w:hAnsi="Arial"/>
          <w:sz w:val="14"/>
          <w:szCs w:val="14"/>
          <w:color w:val="auto"/>
        </w:rPr>
        <w:t xml:space="preserve">Historische gegevens zoals die welke zijn gebruikt voor de berekening van de synthetische indicator zijn mogelijk geen betrouwbare indicator voor het toekomstige risicoprofiel van het Fonds.</w:t>
      </w:r>
      <w:r>
        <w:rPr xmlns:w="http://schemas.openxmlformats.org/wordprocessingml/2006/main">
          <w:rFonts w:ascii="Arial" w:cs="Arial" w:eastAsia="Arial" w:hAnsi="Arial"/>
          <w:sz w:val="14"/>
          <w:szCs w:val="14"/>
          <w:color w:val="auto"/>
        </w:rPr>
        <w:t xml:space="preserve"> De risicocategorie die aan deze SICAV is gekoppeld, is niet gegarandeerd en kan in de loop van de tijd veranderen.</w:t>
      </w:r>
      <w:r>
        <w:rPr xmlns:w="http://schemas.openxmlformats.org/wordprocessingml/2006/main">
          <w:rFonts w:ascii="Arial" w:cs="Arial" w:eastAsia="Arial" w:hAnsi="Arial"/>
          <w:sz w:val="14"/>
          <w:szCs w:val="14"/>
          <w:color w:val="auto"/>
        </w:rPr>
        <w:t xml:space="preserve"> De laagste categorie betekent niet "risicovrij".</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3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Bijzondere risico’s voor het Fonds die niet in deze indicatoren zijn opgenomen, zijn: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-3148965</wp:posOffset>
                </wp:positionH>
                <wp:positionV relativeFrom="paragraph">
                  <wp:posOffset>-257810</wp:posOffset>
                </wp:positionV>
                <wp:extent cx="6285865" cy="15240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5865" cy="152400"/>
                        </a:xfrm>
                        <a:prstGeom prst="rect">
                          <a:avLst/>
                        </a:prstGeom>
                        <a:solidFill>
                          <a:srgbClr val="AFAFAF"/>
                        </a:solidFill>
                      </wps:spPr>
                      <wps:bodyPr/>
                    </wps:wsp>
                  </a:graphicData>
                </a:graphic>
              </wp:anchor>
            </w:drawing>
          </mc:Choice>
          <mc:Fallback>
            <w:pict>
              <v:rect id="Shape 7" o:spid="_x0000_s1032" style="position:absolute;margin-left:-247.9499pt;margin-top:-20.2999pt;width:494.95pt;height:12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7" w:lineRule="exact"/>
        <w:rPr>
          <w:sz w:val="24"/>
          <w:szCs w:val="24"/>
          <w:color w:val="auto"/>
        </w:rPr>
      </w:pPr>
    </w:p>
    <w:p>
      <w:pPr xmlns:w="http://schemas.openxmlformats.org/wordprocessingml/2006/main">
        <w:jc w:val="both"/>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Liquiditeitsrisico: In bepaalde omstandigheden, zoals een tijdelijke daling van de handel op de financiële markten, een aankoop/verkoop van bepaalde financiële instrumenten die door het Fonds worden aangehouden of die de waarde ervan beïnvloeden, kan dit leiden tot een aanzienlijke wijziging in de waardering ervan.</w:t>
      </w:r>
      <w:r>
        <w:rPr xmlns:w="http://schemas.openxmlformats.org/wordprocessingml/2006/main">
          <w:rFonts w:ascii="Arial" w:cs="Arial" w:eastAsia="Arial" w:hAnsi="Arial"/>
          <w:sz w:val="14"/>
          <w:szCs w:val="14"/>
          <w:color w:val="auto"/>
        </w:rPr>
        <w:t xml:space="preserve"> In dergelijke omstandigheden kan de intrinsieke waarde van het Fonds negatief worden beïnvloed.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wp:posOffset>
            </wp:positionH>
            <wp:positionV relativeFrom="paragraph">
              <wp:posOffset>-553720</wp:posOffset>
            </wp:positionV>
            <wp:extent cx="88900" cy="889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spacing w:after="0" w:line="296" w:lineRule="auto"/>
        <w:rPr>
          <w:sz w:val="20"/>
          <w:szCs w:val="20"/>
          <w:color w:val="auto"/>
        </w:rPr>
      </w:pPr>
      <w:r>
        <w:rPr xmlns:w="http://schemas.openxmlformats.org/wordprocessingml/2006/main">
          <w:rFonts w:ascii="Arial" w:cs="Arial" w:eastAsia="Arial" w:hAnsi="Arial"/>
          <w:sz w:val="14"/>
          <w:szCs w:val="14"/>
          <w:color w:val="auto"/>
        </w:rPr>
        <w:t xml:space="preserve">Het optreden van een van deze risico's kan de intrinsieke waarde van uw portefeuille verlagen.</w:t>
      </w:r>
    </w:p>
    <w:p>
      <w:pPr>
        <w:spacing w:after="0" w:line="947" w:lineRule="exact"/>
        <w:rPr>
          <w:sz w:val="24"/>
          <w:szCs w:val="24"/>
          <w:color w:val="auto"/>
        </w:rPr>
      </w:pPr>
    </w:p>
    <w:p>
      <w:pPr>
        <w:sectPr>
          <w:pgSz w:w="11900" w:h="16838" w:orient="portrait"/>
          <w:cols w:equalWidth="0" w:num="2">
            <w:col w:w="4840" w:space="120"/>
            <w:col w:w="4940"/>
          </w:cols>
          <w:pgMar w:left="1000" w:top="1279" w:right="100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5" w:lineRule="exact"/>
        <w:rPr>
          <w:sz w:val="24"/>
          <w:szCs w:val="24"/>
          <w:color w:val="auto"/>
        </w:rPr>
      </w:pPr>
    </w:p>
    <w:p>
      <w:pPr xmlns:w="http://schemas.openxmlformats.org/wordprocessingml/2006/main">
        <w:ind w:left="9440"/>
        <w:spacing w:after="0"/>
        <w:rPr>
          <w:sz w:val="20"/>
          <w:szCs w:val="20"/>
          <w:color w:val="auto"/>
        </w:rPr>
      </w:pPr>
      <w:r>
        <w:rPr xmlns:w="http://schemas.openxmlformats.org/wordprocessingml/2006/main">
          <w:rFonts w:ascii="Arial" w:cs="Arial" w:eastAsia="Arial" w:hAnsi="Arial"/>
          <w:sz w:val="14"/>
          <w:szCs w:val="14"/>
          <w:color w:val="auto"/>
        </w:rPr>
        <w:t xml:space="preserve">1/2</w:t>
      </w:r>
    </w:p>
    <w:p>
      <w:pPr>
        <w:sectPr>
          <w:pgSz w:w="11900" w:h="16838" w:orient="portrait"/>
          <w:cols w:equalWidth="0" w:num="1">
            <w:col w:w="9900"/>
          </w:cols>
          <w:pgMar w:left="1000" w:top="1279" w:right="1006" w:bottom="0" w:gutter="0" w:footer="0" w:header="0"/>
          <w:type w:val="continuous"/>
        </w:sectPr>
      </w:pPr>
    </w:p>
    <w:bookmarkStart w:id="1" w:name="page2"/>
    <w:bookmarkEnd w:id="1"/>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lasten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9" o:spid="_x0000_s1034"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0"/>
          <w:szCs w:val="20"/>
          <w:color w:val="auto"/>
        </w:rPr>
      </w:pPr>
    </w:p>
    <w:p>
      <w:pPr xmlns:w="http://schemas.openxmlformats.org/wordprocessingml/2006/main">
        <w:spacing w:after="0" w:line="270" w:lineRule="auto"/>
        <w:rPr>
          <w:sz w:val="20"/>
          <w:szCs w:val="20"/>
          <w:color w:val="auto"/>
        </w:rPr>
      </w:pPr>
      <w:r>
        <w:rPr xmlns:w="http://schemas.openxmlformats.org/wordprocessingml/2006/main">
          <w:rFonts w:ascii="Arial" w:cs="Arial" w:eastAsia="Arial" w:hAnsi="Arial"/>
          <w:sz w:val="14"/>
          <w:szCs w:val="14"/>
          <w:color w:val="auto"/>
        </w:rPr>
        <w:t xml:space="preserve">De kosten en vergoedingen worden gebruikt om de kosten van het beheer van het Fonds te dekken, met inbegrip van de kosten voor de marketing en distributie van aandelen.</w:t>
      </w:r>
      <w:r>
        <w:rPr xmlns:w="http://schemas.openxmlformats.org/wordprocessingml/2006/main">
          <w:rFonts w:ascii="Arial" w:cs="Arial" w:eastAsia="Arial" w:hAnsi="Arial"/>
          <w:sz w:val="14"/>
          <w:szCs w:val="14"/>
          <w:color w:val="auto"/>
        </w:rPr>
        <w:t xml:space="preserve"> Deze kosten verminderen de potentiële groei van uw investering.</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16510</wp:posOffset>
                </wp:positionV>
                <wp:extent cx="3136900" cy="20320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6900" cy="203200"/>
                        </a:xfrm>
                        <a:prstGeom prst="rect">
                          <a:avLst/>
                        </a:prstGeom>
                        <a:solidFill>
                          <a:srgbClr val="EE7F00"/>
                        </a:solidFill>
                      </wps:spPr>
                      <wps:bodyPr/>
                    </wps:wsp>
                  </a:graphicData>
                </a:graphic>
              </wp:anchor>
            </w:drawing>
          </mc:Choice>
          <mc:Fallback>
            <w:pict>
              <v:rect id="Shape 10" o:spid="_x0000_s1035" style="position:absolute;margin-left:0pt;margin-top:1.3pt;width:247pt;height:1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1210310</wp:posOffset>
                </wp:positionV>
                <wp:extent cx="3136900" cy="20320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6900" cy="203200"/>
                        </a:xfrm>
                        <a:prstGeom prst="rect">
                          <a:avLst/>
                        </a:prstGeom>
                        <a:solidFill>
                          <a:srgbClr val="EE7F00"/>
                        </a:solidFill>
                      </wps:spPr>
                      <wps:bodyPr/>
                    </wps:wsp>
                  </a:graphicData>
                </a:graphic>
              </wp:anchor>
            </w:drawing>
          </mc:Choice>
          <mc:Fallback>
            <w:pict>
              <v:rect id="Shape 11" o:spid="_x0000_s1036" style="position:absolute;margin-left:0pt;margin-top:95.3pt;width:247pt;height:1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15875</wp:posOffset>
                </wp:positionV>
                <wp:extent cx="31388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8805" cy="4763"/>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25pt" to="247.1pt,1.2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1209675</wp:posOffset>
                </wp:positionV>
                <wp:extent cx="313880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8805" cy="4763"/>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95.25pt" to="247.1pt,95.2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14605</wp:posOffset>
                </wp:positionV>
                <wp:extent cx="0" cy="200914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09140"/>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15pt" to="0pt,159.3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3136900</wp:posOffset>
                </wp:positionH>
                <wp:positionV relativeFrom="paragraph">
                  <wp:posOffset>14605</wp:posOffset>
                </wp:positionV>
                <wp:extent cx="0" cy="200914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09140"/>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7pt,1.15pt" to="247pt,159.35pt" o:allowincell="f" strokecolor="#000000" strokeweight="0.2pt"/>
            </w:pict>
          </mc:Fallback>
        </mc:AlternateContent>
      </w:r>
    </w:p>
    <w:p>
      <w:pPr>
        <w:sectPr>
          <w:pgSz w:w="11900" w:h="16838" w:orient="portrait"/>
          <w:cols w:equalWidth="0" w:num="1">
            <w:col w:w="9900"/>
          </w:cols>
          <w:pgMar w:left="1000" w:top="1088" w:right="1006" w:bottom="0" w:gutter="0" w:footer="0" w:header="0"/>
        </w:sectPr>
      </w:pPr>
    </w:p>
    <w:p>
      <w:pPr>
        <w:spacing w:after="0" w:line="68"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Eenmalige kosten die voor of na uw investering zijn gemaakt</w:t>
      </w:r>
    </w:p>
    <w:p>
      <w:pPr>
        <w:spacing w:after="0" w:line="72" w:lineRule="exact"/>
        <w:rPr>
          <w:sz w:val="20"/>
          <w:szCs w:val="20"/>
          <w:color w:val="auto"/>
        </w:rPr>
      </w:pPr>
    </w:p>
    <w:tbl>
      <w:tblPr>
        <w:tblLayout w:type="fixed"/>
        <w:tblInd w:w="0" w:type="dxa"/>
        <w:tblCellMar>
          <w:top w:w="0" w:type="dxa"/>
          <w:left w:w="0" w:type="dxa"/>
          <w:bottom w:w="0" w:type="dxa"/>
          <w:right w:w="0" w:type="dxa"/>
        </w:tblCellMar>
      </w:tblPr>
      <w:tr>
        <w:trPr>
          <w:trHeight w:val="244"/>
        </w:trPr>
        <w:tc>
          <w:tcPr>
            <w:tcW w:w="2480" w:type="dxa"/>
            <w:vAlign w:val="bottom"/>
            <w:tcBorders>
              <w:top w:val="single" w:sz="8" w:color="auto"/>
              <w:right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Toeslag bij binnenkomst</w:t>
            </w:r>
          </w:p>
        </w:tc>
        <w:tc>
          <w:tcPr>
            <w:tcW w:w="248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Niet van toepassing op beleggers op de</w:t>
            </w:r>
          </w:p>
        </w:tc>
      </w:tr>
      <w:tr>
        <w:trPr>
          <w:trHeight w:val="214"/>
        </w:trPr>
        <w:tc>
          <w:tcPr>
            <w:tcW w:w="2480" w:type="dxa"/>
            <w:vAlign w:val="bottom"/>
            <w:tcBorders>
              <w:right w:val="single" w:sz="8" w:color="auto"/>
            </w:tcBorders>
          </w:tcPr>
          <w:p>
            <w:pPr>
              <w:spacing w:after="0"/>
              <w:rPr>
                <w:sz w:val="18"/>
                <w:szCs w:val="18"/>
                <w:color w:val="auto"/>
              </w:rPr>
            </w:pP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Secundaire markt*</w:t>
            </w:r>
          </w:p>
        </w:tc>
      </w:tr>
      <w:tr>
        <w:trPr>
          <w:trHeight w:val="62"/>
        </w:trPr>
        <w:tc>
          <w:tcPr>
            <w:tcW w:w="2480" w:type="dxa"/>
            <w:vAlign w:val="bottom"/>
            <w:tcBorders>
              <w:bottom w:val="single" w:sz="8" w:color="auto"/>
              <w:right w:val="single" w:sz="8" w:color="auto"/>
            </w:tcBorders>
          </w:tcPr>
          <w:p>
            <w:pPr>
              <w:spacing w:after="0"/>
              <w:rPr>
                <w:sz w:val="5"/>
                <w:szCs w:val="5"/>
                <w:color w:val="auto"/>
              </w:rPr>
            </w:pPr>
          </w:p>
        </w:tc>
        <w:tc>
          <w:tcPr>
            <w:tcW w:w="2480" w:type="dxa"/>
            <w:vAlign w:val="bottom"/>
            <w:tcBorders>
              <w:bottom w:val="single" w:sz="8" w:color="auto"/>
            </w:tcBorders>
          </w:tcPr>
          <w:p>
            <w:pPr>
              <w:spacing w:after="0"/>
              <w:rPr>
                <w:sz w:val="5"/>
                <w:szCs w:val="5"/>
                <w:color w:val="auto"/>
              </w:rPr>
            </w:pPr>
          </w:p>
        </w:tc>
      </w:tr>
      <w:tr>
        <w:trPr>
          <w:trHeight w:val="224"/>
        </w:trPr>
        <w:tc>
          <w:tcPr>
            <w:tcW w:w="2480" w:type="dxa"/>
            <w:vAlign w:val="bottom"/>
            <w:tcBorders>
              <w:right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Exitkosten</w:t>
            </w: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Niet van toepassing op beleggers op de</w:t>
            </w:r>
          </w:p>
        </w:tc>
      </w:tr>
      <w:tr>
        <w:trPr>
          <w:trHeight w:val="214"/>
        </w:trPr>
        <w:tc>
          <w:tcPr>
            <w:tcW w:w="2480" w:type="dxa"/>
            <w:vAlign w:val="bottom"/>
            <w:tcBorders>
              <w:right w:val="single" w:sz="8" w:color="auto"/>
            </w:tcBorders>
          </w:tcPr>
          <w:p>
            <w:pPr>
              <w:spacing w:after="0"/>
              <w:rPr>
                <w:sz w:val="18"/>
                <w:szCs w:val="18"/>
                <w:color w:val="auto"/>
              </w:rPr>
            </w:pP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Secundaire markt*</w:t>
            </w:r>
          </w:p>
        </w:tc>
      </w:tr>
      <w:tr>
        <w:trPr>
          <w:trHeight w:val="62"/>
        </w:trPr>
        <w:tc>
          <w:tcPr>
            <w:tcW w:w="2480" w:type="dxa"/>
            <w:vAlign w:val="bottom"/>
            <w:tcBorders>
              <w:bottom w:val="single" w:sz="8" w:color="auto"/>
              <w:right w:val="single" w:sz="8" w:color="auto"/>
            </w:tcBorders>
          </w:tcPr>
          <w:p>
            <w:pPr>
              <w:spacing w:after="0"/>
              <w:rPr>
                <w:sz w:val="5"/>
                <w:szCs w:val="5"/>
                <w:color w:val="auto"/>
              </w:rPr>
            </w:pPr>
          </w:p>
        </w:tc>
        <w:tc>
          <w:tcPr>
            <w:tcW w:w="2480" w:type="dxa"/>
            <w:vAlign w:val="bottom"/>
            <w:tcBorders>
              <w:bottom w:val="single" w:sz="8" w:color="auto"/>
            </w:tcBorders>
          </w:tcPr>
          <w:p>
            <w:pPr>
              <w:spacing w:after="0"/>
              <w:rPr>
                <w:sz w:val="5"/>
                <w:szCs w:val="5"/>
                <w:color w:val="auto"/>
              </w:rPr>
            </w:pPr>
          </w:p>
        </w:tc>
      </w:tr>
    </w:tbl>
    <w:p>
      <w:pPr>
        <w:spacing w:after="0" w:line="40" w:lineRule="exact"/>
        <w:rPr>
          <w:sz w:val="20"/>
          <w:szCs w:val="20"/>
          <w:color w:val="auto"/>
        </w:rPr>
      </w:pPr>
    </w:p>
    <w:p>
      <w:pPr xmlns:w="http://schemas.openxmlformats.org/wordprocessingml/2006/main">
        <w:jc w:val="both"/>
        <w:ind w:left="40" w:right="80"/>
        <w:spacing w:after="0" w:line="300" w:lineRule="auto"/>
        <w:rPr>
          <w:sz w:val="20"/>
          <w:szCs w:val="20"/>
          <w:color w:val="auto"/>
        </w:rPr>
      </w:pPr>
      <w:r>
        <w:rPr xmlns:w="http://schemas.openxmlformats.org/wordprocessingml/2006/main">
          <w:rFonts w:ascii="Arial" w:cs="Arial" w:eastAsia="Arial" w:hAnsi="Arial"/>
          <w:sz w:val="16"/>
          <w:szCs w:val="16"/>
          <w:color w:val="auto"/>
        </w:rPr>
        <w:t xml:space="preserve">Het aangegeven percentage is het maximum dat van uw kapitaal kan worden afgetrokken voordat het wordt belegd (entry) of afgelost (exit).</w:t>
      </w:r>
    </w:p>
    <w:p>
      <w:pPr>
        <w:spacing w:after="0" w:line="60"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Door de SICAV in de loop van een jaar geheven rechten</w:t>
      </w:r>
    </w:p>
    <w:p>
      <w:pPr>
        <w:spacing w:after="0" w:line="72" w:lineRule="exact"/>
        <w:rPr>
          <w:sz w:val="20"/>
          <w:szCs w:val="20"/>
          <w:color w:val="auto"/>
        </w:rPr>
      </w:pPr>
    </w:p>
    <w:tbl>
      <w:tblPr>
        <w:tblLayout w:type="fixed"/>
        <w:tblInd w:w="0" w:type="dxa"/>
        <w:tblCellMar>
          <w:top w:w="0" w:type="dxa"/>
          <w:left w:w="0" w:type="dxa"/>
          <w:bottom w:w="0" w:type="dxa"/>
          <w:right w:w="0" w:type="dxa"/>
        </w:tblCellMar>
      </w:tblPr>
      <w:tr>
        <w:trPr>
          <w:trHeight w:val="268"/>
        </w:trPr>
        <w:tc>
          <w:tcPr>
            <w:tcW w:w="2480" w:type="dxa"/>
            <w:vAlign w:val="bottom"/>
            <w:tcBorders>
              <w:top w:val="single" w:sz="8" w:color="auto"/>
              <w:right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Exploitatiekosten</w:t>
            </w:r>
          </w:p>
        </w:tc>
        <w:tc>
          <w:tcPr>
            <w:tcW w:w="248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0,6% van de gemiddelde nettoactiva</w:t>
            </w:r>
          </w:p>
        </w:tc>
      </w:tr>
      <w:tr>
        <w:trPr>
          <w:trHeight w:val="52"/>
        </w:trPr>
        <w:tc>
          <w:tcPr>
            <w:tcW w:w="640" w:type="dxa"/>
            <w:vAlign w:val="bottom"/>
            <w:tcBorders>
              <w:bottom w:val="single" w:sz="8" w:color="auto"/>
            </w:tcBorders>
          </w:tcPr>
          <w:p>
            <w:pPr>
              <w:spacing w:after="0"/>
              <w:rPr>
                <w:sz w:val="4"/>
                <w:szCs w:val="4"/>
                <w:color w:val="auto"/>
              </w:rPr>
            </w:pPr>
          </w:p>
        </w:tc>
        <w:tc>
          <w:tcPr>
            <w:tcW w:w="1840" w:type="dxa"/>
            <w:vAlign w:val="bottom"/>
            <w:tcBorders>
              <w:bottom w:val="single" w:sz="8" w:color="auto"/>
              <w:right w:val="single" w:sz="8" w:color="auto"/>
            </w:tcBorders>
          </w:tcPr>
          <w:p>
            <w:pPr>
              <w:spacing w:after="0"/>
              <w:rPr>
                <w:sz w:val="4"/>
                <w:szCs w:val="4"/>
                <w:color w:val="auto"/>
              </w:rPr>
            </w:pPr>
          </w:p>
        </w:tc>
        <w:tc>
          <w:tcPr>
            <w:tcW w:w="2480" w:type="dxa"/>
            <w:vAlign w:val="bottom"/>
            <w:tcBorders>
              <w:bottom w:val="single" w:sz="8" w:color="auto"/>
            </w:tcBorders>
          </w:tcPr>
          <w:p>
            <w:pPr>
              <w:spacing w:after="0"/>
              <w:rPr>
                <w:sz w:val="4"/>
                <w:szCs w:val="4"/>
                <w:color w:val="auto"/>
              </w:rPr>
            </w:pPr>
          </w:p>
        </w:tc>
      </w:tr>
      <w:tr>
        <w:trPr>
          <w:trHeight w:val="238"/>
        </w:trPr>
        <w:tc>
          <w:tcPr>
            <w:tcW w:w="640" w:type="dxa"/>
            <w:vAlign w:val="bottom"/>
            <w:shd w:val="clear" w:color="auto" w:fill="EE7F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w w:val="95"/>
                <w:shd w:val="clear" w:color="auto" w:fill="EE7F00"/>
              </w:rPr>
              <w:t xml:space="preserve">lasten</w:t>
            </w:r>
          </w:p>
        </w:tc>
        <w:tc>
          <w:tcPr>
            <w:tcW w:w="4300" w:type="dxa"/>
            <w:vAlign w:val="bottom"/>
            <w:gridSpan w:val="2"/>
            <w:shd w:val="clear" w:color="auto" w:fill="EE7F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door het SICAV in bepaalde omstandigheden geheven</w:t>
            </w:r>
          </w:p>
        </w:tc>
      </w:tr>
      <w:tr>
        <w:trPr>
          <w:trHeight w:val="62"/>
        </w:trPr>
        <w:tc>
          <w:tcPr>
            <w:tcW w:w="640" w:type="dxa"/>
            <w:vAlign w:val="bottom"/>
            <w:tcBorders>
              <w:bottom w:val="single" w:sz="8" w:color="auto"/>
            </w:tcBorders>
            <w:shd w:val="clear" w:color="auto" w:fill="EE7F00"/>
          </w:tcPr>
          <w:p>
            <w:pPr>
              <w:spacing w:after="0"/>
              <w:rPr>
                <w:sz w:val="5"/>
                <w:szCs w:val="5"/>
                <w:color w:val="auto"/>
              </w:rPr>
            </w:pPr>
          </w:p>
        </w:tc>
        <w:tc>
          <w:tcPr>
            <w:tcW w:w="1840" w:type="dxa"/>
            <w:vAlign w:val="bottom"/>
            <w:tcBorders>
              <w:bottom w:val="single" w:sz="8" w:color="auto"/>
              <w:right w:val="single" w:sz="8" w:color="EE7F00"/>
            </w:tcBorders>
            <w:shd w:val="clear" w:color="auto" w:fill="EE7F00"/>
          </w:tcPr>
          <w:p>
            <w:pPr>
              <w:spacing w:after="0"/>
              <w:rPr>
                <w:sz w:val="5"/>
                <w:szCs w:val="5"/>
                <w:color w:val="auto"/>
              </w:rPr>
            </w:pPr>
          </w:p>
        </w:tc>
        <w:tc>
          <w:tcPr>
            <w:tcW w:w="2480" w:type="dxa"/>
            <w:vAlign w:val="bottom"/>
            <w:tcBorders>
              <w:bottom w:val="single" w:sz="8" w:color="auto"/>
            </w:tcBorders>
            <w:shd w:val="clear" w:color="auto" w:fill="EE7F00"/>
          </w:tcPr>
          <w:p>
            <w:pPr>
              <w:spacing w:after="0"/>
              <w:rPr>
                <w:sz w:val="5"/>
                <w:szCs w:val="5"/>
                <w:color w:val="auto"/>
              </w:rPr>
            </w:pPr>
          </w:p>
        </w:tc>
      </w:tr>
      <w:tr>
        <w:trPr>
          <w:trHeight w:val="248"/>
        </w:trPr>
        <w:tc>
          <w:tcPr>
            <w:tcW w:w="2480" w:type="dxa"/>
            <w:vAlign w:val="bottom"/>
            <w:tcBorders>
              <w:right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Prestatievergoeding</w:t>
            </w: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0</w:t>
            </w:r>
          </w:p>
        </w:tc>
      </w:tr>
      <w:tr>
        <w:trPr>
          <w:trHeight w:val="52"/>
        </w:trPr>
        <w:tc>
          <w:tcPr>
            <w:tcW w:w="640" w:type="dxa"/>
            <w:vAlign w:val="bottom"/>
            <w:tcBorders>
              <w:bottom w:val="single" w:sz="8" w:color="auto"/>
            </w:tcBorders>
          </w:tcPr>
          <w:p>
            <w:pPr>
              <w:spacing w:after="0"/>
              <w:rPr>
                <w:sz w:val="4"/>
                <w:szCs w:val="4"/>
                <w:color w:val="auto"/>
              </w:rPr>
            </w:pPr>
          </w:p>
        </w:tc>
        <w:tc>
          <w:tcPr>
            <w:tcW w:w="1840" w:type="dxa"/>
            <w:vAlign w:val="bottom"/>
            <w:tcBorders>
              <w:bottom w:val="single" w:sz="8" w:color="auto"/>
              <w:right w:val="single" w:sz="8" w:color="auto"/>
            </w:tcBorders>
          </w:tcPr>
          <w:p>
            <w:pPr>
              <w:spacing w:after="0"/>
              <w:rPr>
                <w:sz w:val="4"/>
                <w:szCs w:val="4"/>
                <w:color w:val="auto"/>
              </w:rPr>
            </w:pPr>
          </w:p>
        </w:tc>
        <w:tc>
          <w:tcPr>
            <w:tcW w:w="2480" w:type="dxa"/>
            <w:vAlign w:val="bottom"/>
            <w:tcBorders>
              <w:bottom w:val="single" w:sz="8" w:color="auto"/>
            </w:tcBorders>
          </w:tcPr>
          <w:p>
            <w:pPr>
              <w:spacing w:after="0"/>
              <w:rPr>
                <w:sz w:val="4"/>
                <w:szCs w:val="4"/>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0" w:lineRule="exact"/>
        <w:rPr>
          <w:sz w:val="20"/>
          <w:szCs w:val="20"/>
          <w:color w:val="auto"/>
        </w:rPr>
      </w:pPr>
    </w:p>
    <w:p>
      <w:pPr xmlns:w="http://schemas.openxmlformats.org/wordprocessingml/2006/main">
        <w:spacing w:after="0" w:line="275" w:lineRule="auto"/>
        <w:rPr>
          <w:sz w:val="20"/>
          <w:szCs w:val="20"/>
          <w:color w:val="auto"/>
        </w:rPr>
      </w:pPr>
      <w:r>
        <w:rPr xmlns:w="http://schemas.openxmlformats.org/wordprocessingml/2006/main">
          <w:rFonts w:ascii="Arial" w:cs="Arial" w:eastAsia="Arial" w:hAnsi="Arial"/>
          <w:sz w:val="14"/>
          <w:szCs w:val="14"/>
          <w:b w:val="1"/>
          <w:bCs w:val="1"/>
          <w:color w:val="auto"/>
        </w:rPr>
        <w:t xml:space="preserve">*Op de secundaire markt</w:t>
      </w:r>
      <w:r>
        <w:rPr xmlns:w="http://schemas.openxmlformats.org/wordprocessingml/2006/main">
          <w:rFonts w:ascii="Arial" w:cs="Arial" w:eastAsia="Arial" w:hAnsi="Arial"/>
          <w:sz w:val="14"/>
          <w:szCs w:val="14"/>
          <w:color w:val="auto"/>
        </w:rPr>
        <w:t xml:space="preserve">: Het Fonds is een ETF, dus beleggers die geen Geautoriseerde Deelnemers zijn, moeten in principe kopen of</w:t>
      </w:r>
    </w:p>
    <w:p>
      <w:pPr>
        <w:spacing w:after="0" w:line="1" w:lineRule="exact"/>
        <w:rPr>
          <w:sz w:val="20"/>
          <w:szCs w:val="20"/>
          <w:color w:val="auto"/>
        </w:rPr>
      </w:pP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aandelen van het Fonds op de secundaire markt te verkopen.</w:t>
      </w:r>
      <w:r>
        <w:rPr xmlns:w="http://schemas.openxmlformats.org/wordprocessingml/2006/main">
          <w:rFonts w:ascii="Arial" w:cs="Arial" w:eastAsia="Arial" w:hAnsi="Arial"/>
          <w:sz w:val="14"/>
          <w:szCs w:val="14"/>
          <w:color w:val="auto"/>
        </w:rPr>
        <w:t xml:space="preserve"> Op de secundaire markt kunnen beleggers worden onderworpen aan makelaarskosten</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en/of transactiekosten in verband met de plaatsing van hun aankoop-/verkooporder op de desbetreffende beurs.</w:t>
      </w:r>
      <w:r>
        <w:rPr xmlns:w="http://schemas.openxmlformats.org/wordprocessingml/2006/main">
          <w:rFonts w:ascii="Arial" w:cs="Arial" w:eastAsia="Arial" w:hAnsi="Arial"/>
          <w:sz w:val="14"/>
          <w:szCs w:val="14"/>
          <w:color w:val="auto"/>
        </w:rPr>
        <w:t xml:space="preserve"> Deze vergoedingen worden geïnd door tussenpersonen op de markt en worden niet geheven door/geretourneerd aan het Fonds of de beheermaatschappij.</w:t>
      </w:r>
      <w:r>
        <w:rPr xmlns:w="http://schemas.openxmlformats.org/wordprocessingml/2006/main">
          <w:rFonts w:ascii="Arial" w:cs="Arial" w:eastAsia="Arial" w:hAnsi="Arial"/>
          <w:sz w:val="14"/>
          <w:szCs w:val="14"/>
          <w:color w:val="auto"/>
        </w:rPr>
        <w:t xml:space="preserve"> Beleggers kunnen ook een extra bedrag betalen</w:t>
      </w:r>
    </w:p>
    <w:p>
      <w:pPr>
        <w:spacing w:after="0" w:line="1" w:lineRule="exact"/>
        <w:rPr>
          <w:sz w:val="20"/>
          <w:szCs w:val="20"/>
          <w:color w:val="auto"/>
        </w:rPr>
      </w:pP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als gevolg van het verschil tussen de verkoopprijs en de aankoopprijs van de aandelen van het Fonds (spread tussen bied- en laatkoers).</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b w:val="1"/>
          <w:bCs w:val="1"/>
          <w:color w:val="auto"/>
        </w:rPr>
        <w:t xml:space="preserve">Op de primaire markt</w:t>
      </w:r>
      <w:r>
        <w:rPr xmlns:w="http://schemas.openxmlformats.org/wordprocessingml/2006/main">
          <w:rFonts w:ascii="Arial" w:cs="Arial" w:eastAsia="Arial" w:hAnsi="Arial"/>
          <w:sz w:val="14"/>
          <w:szCs w:val="14"/>
          <w:color w:val="auto"/>
        </w:rPr>
        <w:t xml:space="preserve">: Geautoriseerde deelnemers die hun aandelen rechtstreeks bij het Fonds inschrijven/inwisselen, zullen de toepasselijke kosten betalen</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naar de primaire markt van het Fonds zoals beschreven in paragraaf 4 van het prospectus </w:t>
      </w:r>
      <w:r>
        <w:rPr xmlns:w="http://schemas.openxmlformats.org/wordprocessingml/2006/main">
          <w:rFonts w:ascii="Arial" w:cs="Arial" w:eastAsia="Arial" w:hAnsi="Arial"/>
          <w:sz w:val="14"/>
          <w:szCs w:val="14"/>
          <w:b w:val="1"/>
          <w:bCs w:val="1"/>
          <w:color w:val="auto"/>
        </w:rPr>
        <w:t xml:space="preserve">Lopende lasten</w:t>
      </w:r>
      <w:r>
        <w:rPr xmlns:w="http://schemas.openxmlformats.org/wordprocessingml/2006/main">
          <w:rFonts w:ascii="Arial" w:cs="Arial" w:eastAsia="Arial" w:hAnsi="Arial"/>
          <w:sz w:val="14"/>
          <w:szCs w:val="14"/>
          <w:color w:val="auto"/>
        </w:rPr>
        <w:t xml:space="preserve"> zijn gebaseerd op cijfers over het voorgaande boekjaar, afgesloten op </w:t>
      </w:r>
      <w:r>
        <w:rPr xmlns:w="http://schemas.openxmlformats.org/wordprocessingml/2006/main">
          <w:rFonts w:ascii="Arial" w:cs="Arial" w:eastAsia="Arial" w:hAnsi="Arial"/>
          <w:sz w:val="14"/>
          <w:szCs w:val="14"/>
          <w:color w:val="auto"/>
        </w:rPr>
        <w:t xml:space="preserve">31 oktober 2022.</w:t>
      </w:r>
      <w:r>
        <w:rPr xmlns:w="http://schemas.openxmlformats.org/wordprocessingml/2006/main">
          <w:rFonts w:ascii="Arial" w:cs="Arial" w:eastAsia="Arial" w:hAnsi="Arial"/>
          <w:sz w:val="14"/>
          <w:szCs w:val="14"/>
          <w:color w:val="auto"/>
        </w:rPr>
        <w:t xml:space="preserve"> Dit percentage kan van jaar tot jaar variëren.</w:t>
      </w:r>
      <w:r>
        <w:rPr xmlns:w="http://schemas.openxmlformats.org/wordprocessingml/2006/main">
          <w:rFonts w:ascii="Arial" w:cs="Arial" w:eastAsia="Arial" w:hAnsi="Arial"/>
          <w:sz w:val="14"/>
          <w:szCs w:val="14"/>
          <w:color w:val="auto"/>
        </w:rPr>
        <w:t xml:space="preserve"> Het omvat niet:</w:t>
      </w:r>
    </w:p>
    <w:p>
      <w:pPr>
        <w:spacing w:after="0" w:line="1"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Prestatiekosten,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-85090</wp:posOffset>
            </wp:positionV>
            <wp:extent cx="88900" cy="889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92" w:lineRule="auto"/>
        <w:rPr>
          <w:sz w:val="20"/>
          <w:szCs w:val="20"/>
          <w:color w:val="auto"/>
        </w:rPr>
      </w:pPr>
      <w:r>
        <w:rPr xmlns:w="http://schemas.openxmlformats.org/wordprocessingml/2006/main">
          <w:rFonts w:ascii="Arial" w:cs="Arial" w:eastAsia="Arial" w:hAnsi="Arial"/>
          <w:sz w:val="14"/>
          <w:szCs w:val="14"/>
          <w:color w:val="auto"/>
        </w:rPr>
        <w:t xml:space="preserve">Makelaarskosten, met uitzondering van de door de icbe betaalde in- en uitstapkosten bij de aan- of verkoop van rechten van deelneming in een ander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-231775</wp:posOffset>
            </wp:positionV>
            <wp:extent cx="88900" cy="889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w:spacing w:after="0" w:line="1" w:lineRule="exact"/>
        <w:rPr>
          <w:sz w:val="20"/>
          <w:szCs w:val="20"/>
          <w:color w:val="auto"/>
        </w:rPr>
      </w:pPr>
    </w:p>
    <w:p>
      <w:pPr>
        <w:sectPr>
          <w:pgSz w:w="11900" w:h="16838" w:orient="portrait"/>
          <w:cols w:equalWidth="0" w:num="2">
            <w:col w:w="4940" w:space="80"/>
            <w:col w:w="4880"/>
          </w:cols>
          <w:pgMar w:left="1000" w:top="1088" w:right="1006" w:bottom="0" w:gutter="0" w:footer="0" w:header="0"/>
          <w:type w:val="continuous"/>
        </w:sectPr>
      </w:pPr>
    </w:p>
    <w:p>
      <w:pPr xmlns:w="http://schemas.openxmlformats.org/wordprocessingml/2006/main">
        <w:spacing w:after="0" w:line="308" w:lineRule="auto"/>
        <w:rPr>
          <w:sz w:val="20"/>
          <w:szCs w:val="20"/>
          <w:color w:val="auto"/>
        </w:rPr>
      </w:pPr>
      <w:r>
        <w:rPr xmlns:w="http://schemas.openxmlformats.org/wordprocessingml/2006/main">
          <w:rFonts w:ascii="Arial" w:cs="Arial" w:eastAsia="Arial" w:hAnsi="Arial"/>
          <w:sz w:val="14"/>
          <w:szCs w:val="14"/>
          <w:color w:val="auto"/>
        </w:rPr>
        <w:t xml:space="preserve">Voor meer informatie over de kosten van dit Fonds, verwijzen wij u naar het gedeelte "Kosten en vergoedingen" van het prospectus van het Fonds, dat beschikbaar is op amundietf.com.</w:t>
      </w:r>
    </w:p>
    <w:p>
      <w:pPr>
        <w:sectPr>
          <w:pgSz w:w="11900" w:h="16838" w:orient="portrait"/>
          <w:cols w:equalWidth="0" w:num="1">
            <w:col w:w="9900"/>
          </w:cols>
          <w:pgMar w:left="1000" w:top="1088" w:right="1006" w:bottom="0" w:gutter="0" w:footer="0" w:header="0"/>
          <w:type w:val="continuous"/>
        </w:sectPr>
      </w:pPr>
    </w:p>
    <w:p>
      <w:pPr>
        <w:spacing w:after="0" w:line="29"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Eerdere prestaties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18" o:spid="_x0000_s1043"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203" w:lineRule="exact"/>
        <w:rPr>
          <w:sz w:val="20"/>
          <w:szCs w:val="20"/>
          <w:color w:val="auto"/>
        </w:rPr>
      </w:pPr>
    </w:p>
    <w:tbl>
      <w:tblPr>
        <w:tblLayout w:type="fixed"/>
        <w:tblInd w:w="80" w:type="dxa"/>
        <w:tblCellMar>
          <w:top w:w="0" w:type="dxa"/>
          <w:left w:w="0" w:type="dxa"/>
          <w:bottom w:w="0" w:type="dxa"/>
          <w:right w:w="0" w:type="dxa"/>
        </w:tblCellMar>
      </w:tblPr>
      <w:tr>
        <w:trPr>
          <w:trHeight w:val="135"/>
        </w:trPr>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0"/>
                <w:szCs w:val="10"/>
                <w:color w:val="auto"/>
                <w:w w:val="86"/>
              </w:rPr>
              <w:t xml:space="preserve">DA</w:t>
            </w:r>
          </w:p>
        </w:tc>
        <w:tc>
          <w:tcPr>
            <w:tcW w:w="180" w:type="dxa"/>
            <w:vAlign w:val="bottom"/>
          </w:tcPr>
          <w:p>
            <w:pPr>
              <w:spacing w:after="0"/>
              <w:rPr>
                <w:sz w:val="11"/>
                <w:szCs w:val="11"/>
                <w:color w:val="auto"/>
              </w:rPr>
            </w:pPr>
          </w:p>
        </w:tc>
        <w:tc>
          <w:tcPr>
            <w:tcW w:w="30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0"/>
                <w:szCs w:val="10"/>
                <w:color w:val="auto"/>
              </w:rPr>
              <w:t xml:space="preserve">C</w:t>
            </w:r>
          </w:p>
        </w:tc>
        <w:tc>
          <w:tcPr>
            <w:tcW w:w="100" w:type="dxa"/>
            <w:vAlign w:val="bottom"/>
          </w:tcPr>
          <w:p>
            <w:pPr>
              <w:spacing w:after="0"/>
              <w:rPr>
                <w:sz w:val="11"/>
                <w:szCs w:val="11"/>
                <w:color w:val="auto"/>
              </w:rPr>
            </w:pPr>
          </w:p>
        </w:tc>
        <w:tc>
          <w:tcPr>
            <w:tcW w:w="360" w:type="dxa"/>
            <w:vAlign w:val="bottom"/>
            <w:gridSpan w:val="3"/>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rPr>
              <w:t xml:space="preserve">B</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gridSpan w:val="3"/>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0"/>
                <w:szCs w:val="10"/>
                <w:color w:val="auto"/>
              </w:rPr>
              <w:t xml:space="preserve">E</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84"/>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20</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vMerge w:val="restart"/>
            <w:textDirection w:val="btLr"/>
          </w:tcPr>
          <w:p>
            <w:pPr xmlns:w="http://schemas.openxmlformats.org/wordprocessingml/2006/main">
              <w:ind w:right="5"/>
              <w:spacing w:after="0"/>
              <w:rPr>
                <w:sz w:val="20"/>
                <w:szCs w:val="20"/>
                <w:color w:val="auto"/>
              </w:rPr>
            </w:pPr>
            <w:r>
              <w:rPr xmlns:w="http://schemas.openxmlformats.org/wordprocessingml/2006/main">
                <w:rFonts w:ascii="Arial" w:cs="Arial" w:eastAsia="Arial" w:hAnsi="Arial"/>
                <w:sz w:val="10"/>
                <w:szCs w:val="10"/>
                <w:color w:val="auto"/>
                <w:w w:val="98"/>
              </w:rPr>
              <w:t xml:space="preserve">9 %22.</w:t>
            </w: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3"/>
              <w:spacing w:after="0"/>
              <w:rPr>
                <w:sz w:val="20"/>
                <w:szCs w:val="20"/>
                <w:color w:val="auto"/>
              </w:rPr>
            </w:pPr>
            <w:r>
              <w:rPr xmlns:w="http://schemas.openxmlformats.org/wordprocessingml/2006/main">
                <w:rFonts w:ascii="Arial" w:cs="Arial" w:eastAsia="Arial" w:hAnsi="Arial"/>
                <w:sz w:val="10"/>
                <w:szCs w:val="10"/>
                <w:color w:val="auto"/>
                <w:w w:val="98"/>
              </w:rPr>
              <w:t xml:space="preserve">5%22.</w:t>
            </w:r>
          </w:p>
        </w:tc>
        <w:tc>
          <w:tcPr>
            <w:tcW w:w="200" w:type="dxa"/>
            <w:vAlign w:val="bottom"/>
            <w:gridSpan w:val="2"/>
            <w:vMerge w:val="restart"/>
            <w:textDirection w:val="btLr"/>
          </w:tcPr>
          <w:p>
            <w:pPr xmlns:w="http://schemas.openxmlformats.org/wordprocessingml/2006/main">
              <w:ind w:right="44"/>
              <w:spacing w:after="0"/>
              <w:rPr>
                <w:sz w:val="20"/>
                <w:szCs w:val="20"/>
                <w:color w:val="auto"/>
              </w:rPr>
            </w:pPr>
            <w:r>
              <w:rPr xmlns:w="http://schemas.openxmlformats.org/wordprocessingml/2006/main">
                <w:rFonts w:ascii="Arial" w:cs="Arial" w:eastAsia="Arial" w:hAnsi="Arial"/>
                <w:sz w:val="10"/>
                <w:szCs w:val="10"/>
                <w:color w:val="auto"/>
                <w:w w:val="98"/>
              </w:rPr>
              <w:t xml:space="preserve">1%23.</w:t>
            </w:r>
          </w:p>
        </w:tc>
        <w:tc>
          <w:tcPr>
            <w:tcW w:w="80" w:type="dxa"/>
            <w:vAlign w:val="bottom"/>
          </w:tcPr>
          <w:p>
            <w:pPr>
              <w:spacing w:after="0"/>
              <w:rPr>
                <w:sz w:val="24"/>
                <w:szCs w:val="24"/>
                <w:color w:val="auto"/>
              </w:rPr>
            </w:pPr>
          </w:p>
        </w:tc>
        <w:tc>
          <w:tcPr>
            <w:tcW w:w="200" w:type="dxa"/>
            <w:vAlign w:val="bottom"/>
            <w:vMerge w:val="restart"/>
            <w:textDirection w:val="btLr"/>
          </w:tcPr>
          <w:p>
            <w:pPr xmlns:w="http://schemas.openxmlformats.org/wordprocessingml/2006/main">
              <w:ind w:left="23"/>
              <w:spacing w:after="0"/>
              <w:rPr>
                <w:sz w:val="20"/>
                <w:szCs w:val="20"/>
                <w:color w:val="auto"/>
              </w:rPr>
            </w:pPr>
            <w:r>
              <w:rPr xmlns:w="http://schemas.openxmlformats.org/wordprocessingml/2006/main">
                <w:rFonts w:ascii="Arial" w:cs="Arial" w:eastAsia="Arial" w:hAnsi="Arial"/>
                <w:sz w:val="10"/>
                <w:szCs w:val="10"/>
                <w:color w:val="auto"/>
                <w:w w:val="98"/>
              </w:rPr>
              <w:t xml:space="preserve">5%18.</w:t>
            </w:r>
          </w:p>
        </w:tc>
        <w:tc>
          <w:tcPr>
            <w:tcW w:w="200" w:type="dxa"/>
            <w:vAlign w:val="bottom"/>
            <w:vMerge w:val="restart"/>
            <w:textDirection w:val="btLr"/>
          </w:tcPr>
          <w:p>
            <w:pPr xmlns:w="http://schemas.openxmlformats.org/wordprocessingml/2006/main">
              <w:ind w:right="3"/>
              <w:spacing w:after="0"/>
              <w:rPr>
                <w:sz w:val="20"/>
                <w:szCs w:val="20"/>
                <w:color w:val="auto"/>
              </w:rPr>
            </w:pPr>
            <w:r>
              <w:rPr xmlns:w="http://schemas.openxmlformats.org/wordprocessingml/2006/main">
                <w:rFonts w:ascii="Arial" w:cs="Arial" w:eastAsia="Arial" w:hAnsi="Arial"/>
                <w:sz w:val="10"/>
                <w:szCs w:val="10"/>
                <w:color w:val="auto"/>
                <w:w w:val="98"/>
              </w:rPr>
              <w:t xml:space="preserve">0%19.</w:t>
            </w: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1"/>
              <w:spacing w:after="0"/>
              <w:rPr>
                <w:sz w:val="20"/>
                <w:szCs w:val="20"/>
                <w:color w:val="auto"/>
              </w:rPr>
            </w:pPr>
            <w:r>
              <w:rPr xmlns:w="http://schemas.openxmlformats.org/wordprocessingml/2006/main">
                <w:rFonts w:ascii="Arial" w:cs="Arial" w:eastAsia="Arial" w:hAnsi="Arial"/>
                <w:sz w:val="10"/>
                <w:szCs w:val="10"/>
                <w:color w:val="auto"/>
                <w:w w:val="96"/>
              </w:rPr>
              <w:t xml:space="preserve">3%9.</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6"/>
              </w:rPr>
              <w:t xml:space="preserve">9%9.</w:t>
            </w:r>
          </w:p>
        </w:tc>
        <w:tc>
          <w:tcPr>
            <w:tcW w:w="100" w:type="dxa"/>
            <w:vAlign w:val="bottom"/>
          </w:tcPr>
          <w:p>
            <w:pPr>
              <w:spacing w:after="0"/>
              <w:rPr>
                <w:sz w:val="24"/>
                <w:szCs w:val="24"/>
                <w:color w:val="auto"/>
              </w:rPr>
            </w:pPr>
          </w:p>
        </w:tc>
        <w:tc>
          <w:tcPr>
            <w:tcW w:w="1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3%10.</w:t>
            </w:r>
          </w:p>
        </w:tc>
        <w:tc>
          <w:tcPr>
            <w:tcW w:w="280" w:type="dxa"/>
            <w:vAlign w:val="bottom"/>
            <w:gridSpan w:val="2"/>
            <w:vMerge w:val="restart"/>
            <w:textDirection w:val="btLr"/>
          </w:tcPr>
          <w:p>
            <w:pPr xmlns:w="http://schemas.openxmlformats.org/wordprocessingml/2006/main">
              <w:ind w:right="51"/>
              <w:spacing w:after="0"/>
              <w:rPr>
                <w:sz w:val="20"/>
                <w:szCs w:val="20"/>
                <w:color w:val="auto"/>
              </w:rPr>
            </w:pPr>
            <w:r>
              <w:rPr xmlns:w="http://schemas.openxmlformats.org/wordprocessingml/2006/main">
                <w:rFonts w:ascii="Arial" w:cs="Arial" w:eastAsia="Arial" w:hAnsi="Arial"/>
                <w:sz w:val="10"/>
                <w:szCs w:val="10"/>
                <w:color w:val="auto"/>
                <w:w w:val="98"/>
              </w:rPr>
              <w:t xml:space="preserve">0%11.</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8"/>
              <w:spacing w:after="0"/>
              <w:rPr>
                <w:sz w:val="20"/>
                <w:szCs w:val="20"/>
                <w:color w:val="auto"/>
              </w:rPr>
            </w:pPr>
            <w:r>
              <w:rPr xmlns:w="http://schemas.openxmlformats.org/wordprocessingml/2006/main">
                <w:rFonts w:ascii="Arial" w:cs="Arial" w:eastAsia="Arial" w:hAnsi="Arial"/>
                <w:sz w:val="10"/>
                <w:szCs w:val="10"/>
                <w:color w:val="auto"/>
                <w:w w:val="98"/>
              </w:rPr>
              <w:t xml:space="preserve">3%38.</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5%39.</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15"/>
              <w:spacing w:after="0"/>
              <w:rPr>
                <w:sz w:val="20"/>
                <w:szCs w:val="20"/>
                <w:color w:val="auto"/>
              </w:rPr>
            </w:pPr>
            <w:r>
              <w:rPr xmlns:w="http://schemas.openxmlformats.org/wordprocessingml/2006/main">
                <w:rFonts w:ascii="Arial" w:cs="Arial" w:eastAsia="Arial" w:hAnsi="Arial"/>
                <w:sz w:val="10"/>
                <w:szCs w:val="10"/>
                <w:color w:val="auto"/>
                <w:w w:val="96"/>
              </w:rPr>
              <w:t xml:space="preserve">1%8.</w:t>
            </w:r>
          </w:p>
        </w:tc>
        <w:tc>
          <w:tcPr>
            <w:tcW w:w="12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6"/>
              </w:rPr>
              <w:t xml:space="preserve">0%9.</w:t>
            </w:r>
          </w:p>
        </w:tc>
        <w:tc>
          <w:tcPr>
            <w:tcW w:w="340" w:type="dxa"/>
            <w:vAlign w:val="bottom"/>
            <w:gridSpan w:val="3"/>
            <w:vMerge w:val="restart"/>
            <w:textDirection w:val="btLr"/>
          </w:tcPr>
          <w:p>
            <w:pPr xmlns:w="http://schemas.openxmlformats.org/wordprocessingml/2006/main">
              <w:ind w:right="56"/>
              <w:spacing w:after="0"/>
              <w:rPr>
                <w:sz w:val="20"/>
                <w:szCs w:val="20"/>
                <w:color w:val="auto"/>
              </w:rPr>
            </w:pPr>
            <w:r>
              <w:rPr xmlns:w="http://schemas.openxmlformats.org/wordprocessingml/2006/main">
                <w:rFonts w:ascii="Arial" w:cs="Arial" w:eastAsia="Arial" w:hAnsi="Arial"/>
                <w:sz w:val="10"/>
                <w:szCs w:val="10"/>
                <w:color w:val="auto"/>
                <w:w w:val="98"/>
              </w:rPr>
              <w:t xml:space="preserve">4 % 33.</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7 %32.</w:t>
            </w: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340" w:type="dxa"/>
            <w:vAlign w:val="bottom"/>
            <w:vMerge w:val="continue"/>
          </w:tcPr>
          <w:p>
            <w:pPr>
              <w:spacing w:after="0"/>
              <w:rPr>
                <w:sz w:val="24"/>
                <w:szCs w:val="24"/>
                <w:color w:val="auto"/>
              </w:rPr>
            </w:pPr>
          </w:p>
        </w:tc>
        <w:tc>
          <w:tcPr>
            <w:tcW w:w="80" w:type="dxa"/>
            <w:vAlign w:val="bottom"/>
            <w:tcBorders>
              <w:right w:val="single" w:sz="8" w:color="auto"/>
            </w:tcBorders>
          </w:tcPr>
          <w:p>
            <w:pPr>
              <w:spacing w:after="0"/>
              <w:rPr>
                <w:sz w:val="24"/>
                <w:szCs w:val="24"/>
                <w:color w:val="auto"/>
              </w:rPr>
            </w:pPr>
          </w:p>
        </w:tc>
        <w:tc>
          <w:tcPr>
            <w:tcW w:w="200" w:type="dxa"/>
            <w:vAlign w:val="bottom"/>
            <w:textDirection w:val="btLr"/>
          </w:tcPr>
          <w:p>
            <w:pPr xmlns:w="http://schemas.openxmlformats.org/wordprocessingml/2006/main">
              <w:ind w:right="14"/>
              <w:spacing w:after="0"/>
              <w:rPr>
                <w:sz w:val="20"/>
                <w:szCs w:val="20"/>
                <w:color w:val="auto"/>
              </w:rPr>
            </w:pPr>
            <w:r>
              <w:rPr xmlns:w="http://schemas.openxmlformats.org/wordprocessingml/2006/main">
                <w:rFonts w:ascii="Arial" w:cs="Arial" w:eastAsia="Arial" w:hAnsi="Arial"/>
                <w:sz w:val="10"/>
                <w:szCs w:val="10"/>
                <w:color w:val="auto"/>
                <w:w w:val="98"/>
              </w:rPr>
              <w:t xml:space="preserve">3%22.</w:t>
            </w: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vMerge w:val="continue"/>
          </w:tcPr>
          <w:p>
            <w:pPr>
              <w:spacing w:after="0"/>
              <w:rPr>
                <w:sz w:val="24"/>
                <w:szCs w:val="24"/>
                <w:color w:val="auto"/>
              </w:rPr>
            </w:pPr>
          </w:p>
        </w:tc>
        <w:tc>
          <w:tcPr>
            <w:tcW w:w="28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120" w:type="dxa"/>
            <w:vAlign w:val="bottom"/>
            <w:vMerge w:val="continue"/>
          </w:tcPr>
          <w:p>
            <w:pPr>
              <w:spacing w:after="0"/>
              <w:rPr>
                <w:sz w:val="24"/>
                <w:szCs w:val="24"/>
                <w:color w:val="auto"/>
              </w:rPr>
            </w:pPr>
          </w:p>
        </w:tc>
        <w:tc>
          <w:tcPr>
            <w:tcW w:w="340" w:type="dxa"/>
            <w:vAlign w:val="bottom"/>
            <w:gridSpan w:val="3"/>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7"/>
        </w:trPr>
        <w:tc>
          <w:tcPr>
            <w:tcW w:w="3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0"/>
                <w:szCs w:val="10"/>
                <w:color w:val="auto"/>
              </w:rPr>
              <w:t xml:space="preserve">40%.</w:t>
            </w:r>
          </w:p>
        </w:tc>
        <w:tc>
          <w:tcPr>
            <w:tcW w:w="80" w:type="dxa"/>
            <w:vAlign w:val="bottom"/>
            <w:tcBorders>
              <w:right w:val="single" w:sz="8" w:color="auto"/>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12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2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0" w:type="dxa"/>
            <w:vAlign w:val="bottom"/>
          </w:tcPr>
          <w:p>
            <w:pPr>
              <w:spacing w:after="0"/>
              <w:rPr>
                <w:sz w:val="1"/>
                <w:szCs w:val="1"/>
                <w:color w:val="auto"/>
              </w:rPr>
            </w:pPr>
          </w:p>
        </w:tc>
      </w:tr>
      <w:tr>
        <w:trPr>
          <w:trHeight w:val="58"/>
        </w:trPr>
        <w:tc>
          <w:tcPr>
            <w:tcW w:w="340" w:type="dxa"/>
            <w:vAlign w:val="bottom"/>
          </w:tcPr>
          <w:p>
            <w:pPr xmlns:w="http://schemas.openxmlformats.org/wordprocessingml/2006/main">
              <w:jc w:val="right"/>
              <w:ind w:right="153"/>
              <w:spacing w:after="0" w:line="58" w:lineRule="exact"/>
              <w:rPr>
                <w:sz w:val="20"/>
                <w:szCs w:val="20"/>
                <w:color w:val="auto"/>
              </w:rPr>
            </w:pPr>
            <w:r>
              <w:rPr xmlns:w="http://schemas.openxmlformats.org/wordprocessingml/2006/main">
                <w:rFonts w:ascii="Arial" w:cs="Arial" w:eastAsia="Arial" w:hAnsi="Arial"/>
                <w:sz w:val="6"/>
                <w:szCs w:val="6"/>
                <w:color w:val="auto"/>
              </w:rPr>
              <w:t xml:space="preserve">30</w:t>
            </w:r>
          </w:p>
        </w:tc>
        <w:tc>
          <w:tcPr>
            <w:tcW w:w="80" w:type="dxa"/>
            <w:vAlign w:val="bottom"/>
            <w:tcBorders>
              <w:right w:val="single" w:sz="8" w:color="auto"/>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right w:val="single" w:sz="8" w:color="auto"/>
            </w:tcBorders>
          </w:tcPr>
          <w:p>
            <w:pPr>
              <w:spacing w:after="0"/>
              <w:rPr>
                <w:sz w:val="5"/>
                <w:szCs w:val="5"/>
                <w:color w:val="auto"/>
              </w:rPr>
            </w:pPr>
          </w:p>
        </w:tc>
        <w:tc>
          <w:tcPr>
            <w:tcW w:w="180" w:type="dxa"/>
            <w:vAlign w:val="bottom"/>
            <w:tcBorders>
              <w:top w:val="single" w:sz="8" w:color="auto"/>
              <w:right w:val="single" w:sz="8" w:color="auto"/>
            </w:tcBorders>
          </w:tcPr>
          <w:p>
            <w:pPr>
              <w:spacing w:after="0"/>
              <w:rPr>
                <w:sz w:val="5"/>
                <w:szCs w:val="5"/>
                <w:color w:val="auto"/>
              </w:rPr>
            </w:pPr>
          </w:p>
        </w:tc>
        <w:tc>
          <w:tcPr>
            <w:tcW w:w="200" w:type="dxa"/>
            <w:vAlign w:val="bottom"/>
            <w:tcBorders>
              <w:top w:val="single" w:sz="8" w:color="CCCCCC"/>
              <w:right w:val="single" w:sz="8" w:color="auto"/>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12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80" w:type="dxa"/>
            <w:vAlign w:val="bottom"/>
            <w:tcBorders>
              <w:top w:val="single" w:sz="8" w:color="CCCCCC"/>
              <w:right w:val="single" w:sz="8" w:color="auto"/>
            </w:tcBorders>
          </w:tcPr>
          <w:p>
            <w:pPr>
              <w:spacing w:after="0"/>
              <w:rPr>
                <w:sz w:val="5"/>
                <w:szCs w:val="5"/>
                <w:color w:val="auto"/>
              </w:rPr>
            </w:pPr>
          </w:p>
        </w:tc>
        <w:tc>
          <w:tcPr>
            <w:tcW w:w="180" w:type="dxa"/>
            <w:vAlign w:val="bottom"/>
            <w:tcBorders>
              <w:top w:val="single" w:sz="8" w:color="auto"/>
              <w:right w:val="single" w:sz="8" w:color="auto"/>
            </w:tcBorders>
          </w:tcPr>
          <w:p>
            <w:pPr>
              <w:spacing w:after="0"/>
              <w:rPr>
                <w:sz w:val="5"/>
                <w:szCs w:val="5"/>
                <w:color w:val="auto"/>
              </w:rPr>
            </w:pPr>
          </w:p>
        </w:tc>
        <w:tc>
          <w:tcPr>
            <w:tcW w:w="200" w:type="dxa"/>
            <w:vAlign w:val="bottom"/>
            <w:tcBorders>
              <w:top w:val="single" w:sz="8" w:color="auto"/>
              <w:right w:val="single" w:sz="8" w:color="auto"/>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2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0" w:type="dxa"/>
            <w:vAlign w:val="bottom"/>
          </w:tcPr>
          <w:p>
            <w:pPr>
              <w:spacing w:after="0"/>
              <w:rPr>
                <w:sz w:val="1"/>
                <w:szCs w:val="1"/>
                <w:color w:val="auto"/>
              </w:rPr>
            </w:pPr>
          </w:p>
        </w:tc>
      </w:tr>
      <w:tr>
        <w:trPr>
          <w:trHeight w:val="122"/>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10</w:t>
            </w:r>
          </w:p>
        </w:tc>
        <w:tc>
          <w:tcPr>
            <w:tcW w:w="80" w:type="dxa"/>
            <w:vAlign w:val="bottom"/>
            <w:tcBorders>
              <w:right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Borders>
              <w:right w:val="single" w:sz="8" w:color="auto"/>
            </w:tcBorders>
          </w:tcPr>
          <w:p>
            <w:pPr>
              <w:spacing w:after="0"/>
              <w:rPr>
                <w:sz w:val="10"/>
                <w:szCs w:val="10"/>
                <w:color w:val="auto"/>
              </w:rPr>
            </w:pPr>
          </w:p>
        </w:tc>
        <w:tc>
          <w:tcPr>
            <w:tcW w:w="180" w:type="dxa"/>
            <w:vAlign w:val="bottom"/>
            <w:tcBorders>
              <w:right w:val="single" w:sz="8" w:color="auto"/>
            </w:tcBorders>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Borders>
              <w:right w:val="single" w:sz="8" w:color="auto"/>
            </w:tcBorders>
          </w:tcPr>
          <w:p>
            <w:pPr>
              <w:spacing w:after="0"/>
              <w:rPr>
                <w:sz w:val="10"/>
                <w:szCs w:val="10"/>
                <w:color w:val="auto"/>
              </w:rPr>
            </w:pPr>
          </w:p>
        </w:tc>
        <w:tc>
          <w:tcPr>
            <w:tcW w:w="180" w:type="dxa"/>
            <w:vAlign w:val="bottom"/>
            <w:tcBorders>
              <w:right w:val="single" w:sz="8" w:color="auto"/>
            </w:tcBorders>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2"/>
        </w:trPr>
        <w:tc>
          <w:tcPr>
            <w:tcW w:w="340" w:type="dxa"/>
            <w:vAlign w:val="bottom"/>
            <w:vMerge w:val="continue"/>
          </w:tcPr>
          <w:p>
            <w:pPr>
              <w:spacing w:after="0"/>
              <w:rPr>
                <w:sz w:val="13"/>
                <w:szCs w:val="13"/>
                <w:color w:val="auto"/>
              </w:rPr>
            </w:pPr>
          </w:p>
        </w:tc>
        <w:tc>
          <w:tcPr>
            <w:tcW w:w="80" w:type="dxa"/>
            <w:vAlign w:val="bottom"/>
            <w:tcBorders>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100" w:type="dxa"/>
            <w:vAlign w:val="bottom"/>
            <w:tcBorders>
              <w:top w:val="single" w:sz="8" w:color="CCCCCC"/>
              <w:bottom w:val="single" w:sz="8" w:color="CCCCCC"/>
            </w:tcBorders>
          </w:tcPr>
          <w:p>
            <w:pPr>
              <w:spacing w:after="0"/>
              <w:rPr>
                <w:sz w:val="13"/>
                <w:szCs w:val="13"/>
                <w:color w:val="auto"/>
              </w:rPr>
            </w:pPr>
          </w:p>
        </w:tc>
        <w:tc>
          <w:tcPr>
            <w:tcW w:w="1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auto"/>
              <w:bottom w:val="single" w:sz="8" w:color="CCCCCC"/>
              <w:right w:val="single" w:sz="8" w:color="auto"/>
            </w:tcBorders>
          </w:tcPr>
          <w:p>
            <w:pPr>
              <w:spacing w:after="0"/>
              <w:rPr>
                <w:sz w:val="13"/>
                <w:szCs w:val="13"/>
                <w:color w:val="auto"/>
              </w:rPr>
            </w:pPr>
          </w:p>
        </w:tc>
        <w:tc>
          <w:tcPr>
            <w:tcW w:w="200" w:type="dxa"/>
            <w:vAlign w:val="bottom"/>
            <w:tcBorders>
              <w:top w:val="single" w:sz="8" w:color="auto"/>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18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auto"/>
            </w:tcBorders>
          </w:tcPr>
          <w:p>
            <w:pPr>
              <w:spacing w:after="0"/>
              <w:rPr>
                <w:sz w:val="13"/>
                <w:szCs w:val="13"/>
                <w:color w:val="auto"/>
              </w:rPr>
            </w:pPr>
          </w:p>
        </w:tc>
        <w:tc>
          <w:tcPr>
            <w:tcW w:w="100" w:type="dxa"/>
            <w:vAlign w:val="bottom"/>
            <w:tcBorders>
              <w:top w:val="single" w:sz="8" w:color="CCCCCC"/>
              <w:bottom w:val="single" w:sz="8" w:color="CCCCCC"/>
            </w:tcBorders>
          </w:tcPr>
          <w:p>
            <w:pPr>
              <w:spacing w:after="0"/>
              <w:rPr>
                <w:sz w:val="13"/>
                <w:szCs w:val="13"/>
                <w:color w:val="auto"/>
              </w:rPr>
            </w:pPr>
          </w:p>
        </w:tc>
        <w:tc>
          <w:tcPr>
            <w:tcW w:w="100" w:type="dxa"/>
            <w:vAlign w:val="bottom"/>
            <w:tcBorders>
              <w:top w:val="single" w:sz="8" w:color="CCCCCC"/>
              <w:bottom w:val="single" w:sz="8" w:color="auto"/>
            </w:tcBorders>
          </w:tcPr>
          <w:p>
            <w:pPr>
              <w:spacing w:after="0"/>
              <w:rPr>
                <w:sz w:val="13"/>
                <w:szCs w:val="13"/>
                <w:color w:val="auto"/>
              </w:rPr>
            </w:pPr>
          </w:p>
        </w:tc>
        <w:tc>
          <w:tcPr>
            <w:tcW w:w="80" w:type="dxa"/>
            <w:vAlign w:val="bottom"/>
            <w:tcBorders>
              <w:top w:val="single" w:sz="8" w:color="CCCCCC"/>
              <w:bottom w:val="single" w:sz="8" w:color="auto"/>
            </w:tcBorders>
          </w:tcPr>
          <w:p>
            <w:pPr>
              <w:spacing w:after="0"/>
              <w:rPr>
                <w:sz w:val="13"/>
                <w:szCs w:val="13"/>
                <w:color w:val="auto"/>
              </w:rPr>
            </w:pPr>
          </w:p>
        </w:tc>
        <w:tc>
          <w:tcPr>
            <w:tcW w:w="200" w:type="dxa"/>
            <w:vAlign w:val="bottom"/>
            <w:tcBorders>
              <w:top w:val="single" w:sz="8" w:color="CCCCCC"/>
              <w:bottom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0" w:type="dxa"/>
            <w:vAlign w:val="bottom"/>
            <w:tcBorders>
              <w:top w:val="single" w:sz="8" w:color="CCCCCC"/>
              <w:bottom w:val="single" w:sz="8" w:color="CCCCCC"/>
            </w:tcBorders>
          </w:tcPr>
          <w:p>
            <w:pPr>
              <w:spacing w:after="0"/>
              <w:rPr>
                <w:sz w:val="13"/>
                <w:szCs w:val="13"/>
                <w:color w:val="auto"/>
              </w:rPr>
            </w:pPr>
          </w:p>
        </w:tc>
        <w:tc>
          <w:tcPr>
            <w:tcW w:w="180" w:type="dxa"/>
            <w:vAlign w:val="bottom"/>
            <w:tcBorders>
              <w:top w:val="single" w:sz="8" w:color="CCCCCC"/>
              <w:bottom w:val="single" w:sz="8" w:color="CCCCCC"/>
            </w:tcBorders>
          </w:tcPr>
          <w:p>
            <w:pPr>
              <w:spacing w:after="0"/>
              <w:rPr>
                <w:sz w:val="13"/>
                <w:szCs w:val="13"/>
                <w:color w:val="auto"/>
              </w:rPr>
            </w:pPr>
          </w:p>
        </w:tc>
        <w:tc>
          <w:tcPr>
            <w:tcW w:w="12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2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0" w:type="dxa"/>
            <w:vAlign w:val="bottom"/>
          </w:tcPr>
          <w:p>
            <w:pPr>
              <w:spacing w:after="0"/>
              <w:rPr>
                <w:sz w:val="1"/>
                <w:szCs w:val="1"/>
                <w:color w:val="auto"/>
              </w:rPr>
            </w:pPr>
          </w:p>
        </w:tc>
      </w:tr>
      <w:tr>
        <w:trPr>
          <w:trHeight w:val="139"/>
        </w:trPr>
        <w:tc>
          <w:tcPr>
            <w:tcW w:w="340" w:type="dxa"/>
            <w:vAlign w:val="bottom"/>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0</w:t>
            </w: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top w:val="single" w:sz="8" w:color="auto"/>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 w:type="dxa"/>
            <w:vAlign w:val="bottom"/>
            <w:tcBorders>
              <w:top w:val="single" w:sz="8" w:color="auto"/>
              <w:bottom w:val="single" w:sz="8" w:color="auto"/>
            </w:tcBorders>
          </w:tcPr>
          <w:p>
            <w:pPr>
              <w:spacing w:after="0"/>
              <w:rPr>
                <w:sz w:val="12"/>
                <w:szCs w:val="12"/>
                <w:color w:val="auto"/>
              </w:rPr>
            </w:pPr>
          </w:p>
        </w:tc>
        <w:tc>
          <w:tcPr>
            <w:tcW w:w="180" w:type="dxa"/>
            <w:vAlign w:val="bottom"/>
            <w:tcBorders>
              <w:top w:val="single" w:sz="8" w:color="auto"/>
              <w:bottom w:val="single" w:sz="8" w:color="auto"/>
              <w:right w:val="single" w:sz="8" w:color="auto"/>
            </w:tcBorders>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80" w:type="dxa"/>
            <w:vAlign w:val="bottom"/>
            <w:tcBorders>
              <w:top w:val="single" w:sz="8" w:color="auto"/>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87"/>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w w:val="82"/>
              </w:rPr>
              <w:t xml:space="preserve">-10</w:t>
            </w:r>
          </w:p>
        </w:tc>
        <w:tc>
          <w:tcPr>
            <w:tcW w:w="80" w:type="dxa"/>
            <w:vAlign w:val="bottom"/>
            <w:tcBorders>
              <w:right w:val="single" w:sz="8" w:color="auto"/>
            </w:tcBorders>
            <w:vMerge w:val="restart"/>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12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right w:val="single" w:sz="8" w:color="auto"/>
            </w:tcBorders>
          </w:tcPr>
          <w:p>
            <w:pPr>
              <w:spacing w:after="0"/>
              <w:rPr>
                <w:sz w:val="7"/>
                <w:szCs w:val="7"/>
                <w:color w:val="auto"/>
              </w:rPr>
            </w:pPr>
          </w:p>
        </w:tc>
        <w:tc>
          <w:tcPr>
            <w:tcW w:w="22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340" w:type="dxa"/>
            <w:vAlign w:val="bottom"/>
            <w:vMerge w:val="continue"/>
          </w:tcPr>
          <w:p>
            <w:pPr>
              <w:spacing w:after="0" w:line="20" w:lineRule="exact"/>
              <w:rPr>
                <w:sz w:val="1"/>
                <w:szCs w:val="1"/>
                <w:color w:val="auto"/>
              </w:rPr>
            </w:pPr>
          </w:p>
        </w:tc>
        <w:tc>
          <w:tcPr>
            <w:tcW w:w="80" w:type="dxa"/>
            <w:vAlign w:val="bottom"/>
            <w:tcBorders>
              <w:right w:val="single" w:sz="8" w:color="auto"/>
            </w:tcBorders>
            <w:vMerge w:val="continu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00" w:type="dxa"/>
            <w:vAlign w:val="bottom"/>
            <w:tcBorders>
              <w:bottom w:val="single" w:sz="8" w:color="auto"/>
              <w:right w:val="single" w:sz="8" w:color="auto"/>
            </w:tcBorders>
          </w:tcPr>
          <w:p>
            <w:pPr>
              <w:spacing w:after="0" w:line="20" w:lineRule="exact"/>
              <w:rPr>
                <w:sz w:val="1"/>
                <w:szCs w:val="1"/>
                <w:color w:val="auto"/>
              </w:rPr>
            </w:pPr>
          </w:p>
        </w:tc>
        <w:tc>
          <w:tcPr>
            <w:tcW w:w="20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20" w:type="dxa"/>
            <w:vAlign w:val="bottom"/>
            <w:tcBorders>
              <w:right w:val="single" w:sz="8" w:color="auto"/>
            </w:tcBorders>
          </w:tcPr>
          <w:p>
            <w:pPr>
              <w:spacing w:after="0" w:line="20" w:lineRule="exact"/>
              <w:rPr>
                <w:sz w:val="1"/>
                <w:szCs w:val="1"/>
                <w:color w:val="auto"/>
              </w:rPr>
            </w:pPr>
          </w:p>
        </w:tc>
        <w:tc>
          <w:tcPr>
            <w:tcW w:w="200" w:type="dxa"/>
            <w:vAlign w:val="bottom"/>
            <w:tcBorders>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4"/>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w w:val="82"/>
              </w:rPr>
              <w:t xml:space="preserve">-20</w:t>
            </w:r>
          </w:p>
        </w:tc>
        <w:tc>
          <w:tcPr>
            <w:tcW w:w="80" w:type="dxa"/>
            <w:vAlign w:val="bottom"/>
            <w:tcBorders>
              <w:right w:val="single" w:sz="8" w:color="auto"/>
            </w:tcBorders>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restart"/>
            <w:textDirection w:val="btLr"/>
          </w:tcPr>
          <w:p>
            <w:pPr xmlns:w="http://schemas.openxmlformats.org/wordprocessingml/2006/main">
              <w:ind w:right="34"/>
              <w:spacing w:after="0"/>
              <w:rPr>
                <w:sz w:val="20"/>
                <w:szCs w:val="20"/>
                <w:color w:val="auto"/>
              </w:rPr>
            </w:pPr>
            <w:r>
              <w:rPr xmlns:w="http://schemas.openxmlformats.org/wordprocessingml/2006/main">
                <w:rFonts w:ascii="Arial" w:cs="Arial" w:eastAsia="Arial" w:hAnsi="Arial"/>
                <w:sz w:val="4"/>
                <w:szCs w:val="4"/>
                <w:color w:val="auto"/>
                <w:w w:val="78"/>
              </w:rPr>
              <w:t xml:space="preserve">-12,8 %</w:t>
            </w:r>
          </w:p>
        </w:tc>
        <w:tc>
          <w:tcPr>
            <w:tcW w:w="200" w:type="dxa"/>
            <w:vAlign w:val="bottom"/>
            <w:vMerge w:val="restart"/>
            <w:textDirection w:val="btLr"/>
          </w:tcPr>
          <w:p>
            <w:pPr xmlns:w="http://schemas.openxmlformats.org/wordprocessingml/2006/main">
              <w:ind w:right="40"/>
              <w:spacing w:after="0"/>
              <w:rPr>
                <w:sz w:val="20"/>
                <w:szCs w:val="20"/>
                <w:color w:val="auto"/>
              </w:rPr>
            </w:pPr>
            <w:r>
              <w:rPr xmlns:w="http://schemas.openxmlformats.org/wordprocessingml/2006/main">
                <w:rFonts w:ascii="Arial" w:cs="Arial" w:eastAsia="Arial" w:hAnsi="Arial"/>
                <w:sz w:val="4"/>
                <w:szCs w:val="4"/>
                <w:color w:val="auto"/>
                <w:w w:val="78"/>
              </w:rPr>
              <w:t xml:space="preserve">-12,0 %</w:t>
            </w: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Borders>
              <w:right w:val="single" w:sz="8" w:color="auto"/>
            </w:tcBorders>
          </w:tcPr>
          <w:p>
            <w:pPr>
              <w:spacing w:after="0"/>
              <w:rPr>
                <w:sz w:val="5"/>
                <w:szCs w:val="5"/>
                <w:color w:val="auto"/>
              </w:rPr>
            </w:pPr>
          </w:p>
        </w:tc>
        <w:tc>
          <w:tcPr>
            <w:tcW w:w="220" w:type="dxa"/>
            <w:vAlign w:val="bottom"/>
            <w:tcBorders>
              <w:right w:val="single" w:sz="8" w:color="auto"/>
            </w:tcBorders>
          </w:tcPr>
          <w:p>
            <w:pPr>
              <w:spacing w:after="0"/>
              <w:rPr>
                <w:sz w:val="5"/>
                <w:szCs w:val="5"/>
                <w:color w:val="auto"/>
              </w:rPr>
            </w:pPr>
          </w:p>
        </w:tc>
        <w:tc>
          <w:tcPr>
            <w:tcW w:w="20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6"/>
        </w:trPr>
        <w:tc>
          <w:tcPr>
            <w:tcW w:w="340" w:type="dxa"/>
            <w:vAlign w:val="bottom"/>
            <w:vMerge w:val="continue"/>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vMerge w:val="continue"/>
          </w:tcPr>
          <w:p>
            <w:pPr>
              <w:spacing w:after="0" w:line="20" w:lineRule="exact"/>
              <w:rPr>
                <w:sz w:val="1"/>
                <w:szCs w:val="1"/>
                <w:color w:val="auto"/>
              </w:rPr>
            </w:pPr>
          </w:p>
        </w:tc>
        <w:tc>
          <w:tcPr>
            <w:tcW w:w="200" w:type="dxa"/>
            <w:vAlign w:val="bottom"/>
            <w:tcBorders>
              <w:bottom w:val="single" w:sz="8" w:color="CCCCCC"/>
            </w:tcBorders>
            <w:vMerge w:val="continue"/>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12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20" w:type="dxa"/>
            <w:vAlign w:val="bottom"/>
            <w:tcBorders>
              <w:top w:val="single" w:sz="8" w:color="auto"/>
              <w:bottom w:val="single" w:sz="8" w:color="CCCCCC"/>
            </w:tcBorders>
            <w:textDirection w:val="btLr"/>
          </w:tcPr>
          <w:p>
            <w:pPr xmlns:w="http://schemas.openxmlformats.org/wordprocessingml/2006/main">
              <w:ind w:right="57"/>
              <w:spacing w:after="0"/>
              <w:rPr>
                <w:sz w:val="20"/>
                <w:szCs w:val="20"/>
                <w:color w:val="auto"/>
              </w:rPr>
            </w:pPr>
            <w:r>
              <w:rPr xmlns:w="http://schemas.openxmlformats.org/wordprocessingml/2006/main">
                <w:rFonts w:ascii="Arial" w:cs="Arial" w:eastAsia="Arial" w:hAnsi="Arial"/>
                <w:sz w:val="1"/>
                <w:szCs w:val="1"/>
                <w:color w:val="auto"/>
                <w:w w:val="61"/>
              </w:rPr>
              <w:t xml:space="preserve">-17,0 %</w:t>
            </w:r>
          </w:p>
        </w:tc>
        <w:tc>
          <w:tcPr>
            <w:tcW w:w="200" w:type="dxa"/>
            <w:vAlign w:val="bottom"/>
            <w:tcBorders>
              <w:bottom w:val="single" w:sz="8" w:color="CCCCCC"/>
            </w:tcBorders>
            <w:textDirection w:val="btLr"/>
          </w:tcPr>
          <w:p>
            <w:pPr xmlns:w="http://schemas.openxmlformats.org/wordprocessingml/2006/main">
              <w:ind w:right="51"/>
              <w:spacing w:after="0"/>
              <w:rPr>
                <w:sz w:val="20"/>
                <w:szCs w:val="20"/>
                <w:color w:val="auto"/>
              </w:rPr>
            </w:pPr>
            <w:r>
              <w:rPr xmlns:w="http://schemas.openxmlformats.org/wordprocessingml/2006/main">
                <w:rFonts w:ascii="Arial" w:cs="Arial" w:eastAsia="Arial" w:hAnsi="Arial"/>
                <w:sz w:val="1"/>
                <w:szCs w:val="1"/>
                <w:color w:val="auto"/>
                <w:w w:val="61"/>
              </w:rPr>
              <w:t xml:space="preserve">-16,5 %</w:t>
            </w:r>
          </w:p>
        </w:tc>
        <w:tc>
          <w:tcPr>
            <w:tcW w:w="0" w:type="dxa"/>
            <w:vAlign w:val="bottom"/>
          </w:tcPr>
          <w:p>
            <w:pPr>
              <w:spacing w:after="0" w:line="20" w:lineRule="exact"/>
              <w:rPr>
                <w:sz w:val="1"/>
                <w:szCs w:val="1"/>
                <w:color w:val="auto"/>
              </w:rPr>
            </w:pPr>
          </w:p>
        </w:tc>
      </w:tr>
      <w:tr>
        <w:trPr>
          <w:trHeight w:val="52"/>
        </w:trPr>
        <w:tc>
          <w:tcPr>
            <w:tcW w:w="340" w:type="dxa"/>
            <w:vAlign w:val="bottom"/>
            <w:vMerge w:val="continue"/>
          </w:tcPr>
          <w:p>
            <w:pPr>
              <w:spacing w:after="0"/>
              <w:rPr>
                <w:sz w:val="4"/>
                <w:szCs w:val="4"/>
                <w:color w:val="auto"/>
              </w:rPr>
            </w:pPr>
          </w:p>
        </w:tc>
        <w:tc>
          <w:tcPr>
            <w:tcW w:w="80" w:type="dxa"/>
            <w:vAlign w:val="bottom"/>
            <w:tcBorders>
              <w:right w:val="single" w:sz="8" w:color="auto"/>
            </w:tcBorders>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0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20" w:type="dxa"/>
            <w:vAlign w:val="bottom"/>
          </w:tcPr>
          <w:p>
            <w:pPr>
              <w:spacing w:after="0"/>
              <w:rPr>
                <w:sz w:val="4"/>
                <w:szCs w:val="4"/>
                <w:color w:val="auto"/>
              </w:rPr>
            </w:pPr>
          </w:p>
        </w:tc>
        <w:tc>
          <w:tcPr>
            <w:tcW w:w="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8"/>
        </w:trPr>
        <w:tc>
          <w:tcPr>
            <w:tcW w:w="340" w:type="dxa"/>
            <w:vAlign w:val="bottom"/>
          </w:tcPr>
          <w:p>
            <w:pPr>
              <w:spacing w:after="0"/>
              <w:rPr>
                <w:sz w:val="24"/>
                <w:szCs w:val="24"/>
                <w:color w:val="auto"/>
              </w:rPr>
            </w:pPr>
          </w:p>
        </w:tc>
        <w:tc>
          <w:tcPr>
            <w:tcW w:w="80" w:type="dxa"/>
            <w:vAlign w:val="bottom"/>
            <w:tcBorders>
              <w:right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gridSpan w:val="2"/>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2"/>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3"/>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gridSpan w:val="2"/>
          </w:tcPr>
          <w:p>
            <w:pPr>
              <w:spacing w:after="0"/>
              <w:rPr>
                <w:sz w:val="24"/>
                <w:szCs w:val="24"/>
                <w:color w:val="auto"/>
              </w:rPr>
            </w:pPr>
          </w:p>
        </w:tc>
        <w:tc>
          <w:tcPr>
            <w:tcW w:w="540" w:type="dxa"/>
            <w:vAlign w:val="bottom"/>
            <w:tcBorders>
              <w:bottom w:val="single" w:sz="8" w:color="auto"/>
            </w:tcBorders>
            <w:gridSpan w:val="4"/>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2013</w:t>
            </w:r>
          </w:p>
        </w:tc>
        <w:tc>
          <w:tcPr>
            <w:tcW w:w="80" w:type="dxa"/>
            <w:vAlign w:val="bottom"/>
          </w:tcPr>
          <w:p>
            <w:pPr>
              <w:spacing w:after="0"/>
              <w:rPr>
                <w:sz w:val="20"/>
                <w:szCs w:val="20"/>
                <w:color w:val="auto"/>
              </w:rPr>
            </w:pPr>
          </w:p>
        </w:tc>
        <w:tc>
          <w:tcPr>
            <w:tcW w:w="380" w:type="dxa"/>
            <w:vAlign w:val="bottom"/>
            <w:gridSpan w:val="3"/>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2014</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2015</w:t>
            </w:r>
          </w:p>
        </w:tc>
        <w:tc>
          <w:tcPr>
            <w:tcW w:w="80" w:type="dxa"/>
            <w:vAlign w:val="bottom"/>
          </w:tcPr>
          <w:p>
            <w:pPr>
              <w:spacing w:after="0"/>
              <w:rPr>
                <w:sz w:val="20"/>
                <w:szCs w:val="20"/>
                <w:color w:val="auto"/>
              </w:rPr>
            </w:pPr>
          </w:p>
        </w:tc>
        <w:tc>
          <w:tcPr>
            <w:tcW w:w="38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2016</w:t>
            </w:r>
          </w:p>
        </w:tc>
        <w:tc>
          <w:tcPr>
            <w:tcW w:w="100" w:type="dxa"/>
            <w:vAlign w:val="bottom"/>
          </w:tcPr>
          <w:p>
            <w:pPr>
              <w:spacing w:after="0"/>
              <w:rPr>
                <w:sz w:val="20"/>
                <w:szCs w:val="20"/>
                <w:color w:val="auto"/>
              </w:rPr>
            </w:pPr>
          </w:p>
        </w:tc>
        <w:tc>
          <w:tcPr>
            <w:tcW w:w="380" w:type="dxa"/>
            <w:vAlign w:val="bottom"/>
            <w:gridSpan w:val="3"/>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2017</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2018</w:t>
            </w:r>
          </w:p>
        </w:tc>
        <w:tc>
          <w:tcPr>
            <w:tcW w:w="80" w:type="dxa"/>
            <w:vAlign w:val="bottom"/>
          </w:tcPr>
          <w:p>
            <w:pPr>
              <w:spacing w:after="0"/>
              <w:rPr>
                <w:sz w:val="20"/>
                <w:szCs w:val="20"/>
                <w:color w:val="auto"/>
              </w:rPr>
            </w:pPr>
          </w:p>
        </w:tc>
        <w:tc>
          <w:tcPr>
            <w:tcW w:w="38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2019</w:t>
            </w: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0"/>
                <w:szCs w:val="10"/>
                <w:color w:val="auto"/>
              </w:rPr>
              <w:t xml:space="preserve">2020</w:t>
            </w:r>
          </w:p>
        </w:tc>
        <w:tc>
          <w:tcPr>
            <w:tcW w:w="540" w:type="dxa"/>
            <w:vAlign w:val="bottom"/>
            <w:gridSpan w:val="4"/>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2021</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75"/>
              <w:spacing w:after="0"/>
              <w:rPr>
                <w:sz w:val="20"/>
                <w:szCs w:val="20"/>
                <w:color w:val="auto"/>
              </w:rPr>
            </w:pPr>
            <w:r>
              <w:rPr xmlns:w="http://schemas.openxmlformats.org/wordprocessingml/2006/main">
                <w:rFonts w:ascii="Arial" w:cs="Arial" w:eastAsia="Arial" w:hAnsi="Arial"/>
                <w:sz w:val="10"/>
                <w:szCs w:val="10"/>
                <w:color w:val="auto"/>
              </w:rPr>
              <w:t xml:space="preserve">2022</w:t>
            </w:r>
          </w:p>
        </w:tc>
        <w:tc>
          <w:tcPr>
            <w:tcW w:w="0" w:type="dxa"/>
            <w:vAlign w:val="bottom"/>
          </w:tcPr>
          <w:p>
            <w:pPr>
              <w:spacing w:after="0"/>
              <w:rPr>
                <w:sz w:val="1"/>
                <w:szCs w:val="1"/>
                <w:color w:val="auto"/>
              </w:rPr>
            </w:pPr>
          </w:p>
        </w:tc>
      </w:tr>
      <w:tr>
        <w:trPr>
          <w:trHeight w:val="70"/>
        </w:trPr>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00" w:type="dxa"/>
            <w:vAlign w:val="bottom"/>
            <w:tcBorders>
              <w:bottom w:val="single" w:sz="8" w:color="D6D1D1"/>
            </w:tcBorders>
          </w:tcPr>
          <w:p>
            <w:pPr>
              <w:spacing w:after="0"/>
              <w:rPr>
                <w:sz w:val="6"/>
                <w:szCs w:val="6"/>
                <w:color w:val="auto"/>
              </w:rPr>
            </w:pPr>
          </w:p>
        </w:tc>
        <w:tc>
          <w:tcPr>
            <w:tcW w:w="80" w:type="dxa"/>
            <w:vAlign w:val="bottom"/>
            <w:tcBorders>
              <w:bottom w:val="single" w:sz="8" w:color="D6D1D1"/>
            </w:tcBorders>
          </w:tcPr>
          <w:p>
            <w:pPr>
              <w:spacing w:after="0"/>
              <w:rPr>
                <w:sz w:val="6"/>
                <w:szCs w:val="6"/>
                <w:color w:val="auto"/>
              </w:rPr>
            </w:pPr>
          </w:p>
        </w:tc>
        <w:tc>
          <w:tcPr>
            <w:tcW w:w="2380" w:type="dxa"/>
            <w:vAlign w:val="bottom"/>
            <w:tcBorders>
              <w:bottom w:val="single" w:sz="8" w:color="D6D1D1"/>
            </w:tcBorders>
            <w:gridSpan w:val="17"/>
          </w:tcPr>
          <w:p>
            <w:pPr>
              <w:spacing w:after="0"/>
              <w:rPr>
                <w:sz w:val="6"/>
                <w:szCs w:val="6"/>
                <w:color w:val="auto"/>
              </w:rPr>
            </w:pPr>
          </w:p>
        </w:tc>
        <w:tc>
          <w:tcPr>
            <w:tcW w:w="180" w:type="dxa"/>
            <w:vAlign w:val="bottom"/>
            <w:tcBorders>
              <w:bottom w:val="single" w:sz="8" w:color="D6D1D1"/>
            </w:tcBorders>
          </w:tcPr>
          <w:p>
            <w:pPr>
              <w:spacing w:after="0"/>
              <w:rPr>
                <w:sz w:val="6"/>
                <w:szCs w:val="6"/>
                <w:color w:val="auto"/>
              </w:rPr>
            </w:pPr>
          </w:p>
        </w:tc>
        <w:tc>
          <w:tcPr>
            <w:tcW w:w="120" w:type="dxa"/>
            <w:vAlign w:val="bottom"/>
            <w:tcBorders>
              <w:bottom w:val="single" w:sz="8" w:color="D6D1D1"/>
            </w:tcBorders>
          </w:tcPr>
          <w:p>
            <w:pPr>
              <w:spacing w:after="0"/>
              <w:rPr>
                <w:sz w:val="6"/>
                <w:szCs w:val="6"/>
                <w:color w:val="auto"/>
              </w:rPr>
            </w:pPr>
          </w:p>
        </w:tc>
        <w:tc>
          <w:tcPr>
            <w:tcW w:w="840" w:type="dxa"/>
            <w:vAlign w:val="bottom"/>
            <w:tcBorders>
              <w:bottom w:val="single" w:sz="8" w:color="D6D1D1"/>
            </w:tcBorders>
            <w:gridSpan w:val="6"/>
          </w:tcPr>
          <w:p>
            <w:pPr>
              <w:spacing w:after="0"/>
              <w:rPr>
                <w:sz w:val="6"/>
                <w:szCs w:val="6"/>
                <w:color w:val="auto"/>
              </w:rPr>
            </w:pPr>
          </w:p>
        </w:tc>
        <w:tc>
          <w:tcPr>
            <w:tcW w:w="200" w:type="dxa"/>
            <w:vAlign w:val="bottom"/>
            <w:tcBorders>
              <w:bottom w:val="single" w:sz="8" w:color="D6D1D1"/>
            </w:tcBorders>
          </w:tcPr>
          <w:p>
            <w:pPr>
              <w:spacing w:after="0"/>
              <w:rPr>
                <w:sz w:val="6"/>
                <w:szCs w:val="6"/>
                <w:color w:val="auto"/>
              </w:rPr>
            </w:pPr>
          </w:p>
        </w:tc>
        <w:tc>
          <w:tcPr>
            <w:tcW w:w="0" w:type="dxa"/>
            <w:vAlign w:val="bottom"/>
          </w:tcPr>
          <w:p>
            <w:pPr>
              <w:spacing w:after="0"/>
              <w:rPr>
                <w:sz w:val="1"/>
                <w:szCs w:val="1"/>
                <w:color w:val="auto"/>
              </w:rPr>
            </w:pPr>
          </w:p>
        </w:tc>
      </w:tr>
      <w:tr>
        <w:trPr>
          <w:trHeight w:val="173"/>
        </w:trPr>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Borders>
              <w:right w:val="single" w:sz="8" w:color="D6D1D1"/>
            </w:tcBorders>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380" w:type="dxa"/>
            <w:vAlign w:val="bottom"/>
            <w:gridSpan w:val="17"/>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rPr>
              <w:t xml:space="preserve">Amundi MSCI Water ESG gescreend UCITS ETF Dist</w:t>
            </w: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6"/>
          </w:tcPr>
          <w:p>
            <w:pPr xmlns:w="http://schemas.openxmlformats.org/wordprocessingml/2006/main">
              <w:jc w:val="right"/>
              <w:ind w:right="13"/>
              <w:spacing w:after="0"/>
              <w:rPr>
                <w:sz w:val="20"/>
                <w:szCs w:val="20"/>
                <w:color w:val="auto"/>
              </w:rPr>
            </w:pPr>
            <w:r>
              <w:rPr xmlns:w="http://schemas.openxmlformats.org/wordprocessingml/2006/main">
                <w:rFonts w:ascii="Arial" w:cs="Arial" w:eastAsia="Arial" w:hAnsi="Arial"/>
                <w:sz w:val="10"/>
                <w:szCs w:val="10"/>
                <w:color w:val="auto"/>
              </w:rPr>
              <w:t xml:space="preserve">Benchmark-index</w:t>
            </w:r>
          </w:p>
        </w:tc>
        <w:tc>
          <w:tcPr>
            <w:tcW w:w="200" w:type="dxa"/>
            <w:vAlign w:val="bottom"/>
            <w:tcBorders>
              <w:right w:val="single" w:sz="8" w:color="D6D1D1"/>
            </w:tcBorders>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00" w:type="dxa"/>
            <w:vAlign w:val="bottom"/>
            <w:tcBorders>
              <w:right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12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20" w:type="dxa"/>
            <w:vAlign w:val="bottom"/>
            <w:tcBorders>
              <w:bottom w:val="single" w:sz="8" w:color="D6D1D1"/>
            </w:tcBorders>
          </w:tcPr>
          <w:p>
            <w:pPr>
              <w:spacing w:after="0"/>
              <w:rPr>
                <w:sz w:val="4"/>
                <w:szCs w:val="4"/>
                <w:color w:val="auto"/>
              </w:rPr>
            </w:pPr>
          </w:p>
        </w:tc>
        <w:tc>
          <w:tcPr>
            <w:tcW w:w="200" w:type="dxa"/>
            <w:vAlign w:val="bottom"/>
            <w:tcBorders>
              <w:bottom w:val="single" w:sz="8" w:color="D6D1D1"/>
              <w:right w:val="single" w:sz="8" w:color="D6D1D1"/>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269875</wp:posOffset>
            </wp:positionH>
            <wp:positionV relativeFrom="paragraph">
              <wp:posOffset>-1208405</wp:posOffset>
            </wp:positionV>
            <wp:extent cx="2981960" cy="87503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extLst>
                    </a:blip>
                    <a:srcRect/>
                    <a:stretch>
                      <a:fillRect/>
                    </a:stretch>
                  </pic:blipFill>
                  <pic:spPr bwMode="auto">
                    <a:xfrm>
                      <a:off x="0" y="0"/>
                      <a:ext cx="2981960" cy="875030"/>
                    </a:xfrm>
                    <a:prstGeom prst="rect">
                      <a:avLst/>
                    </a:prstGeom>
                    <a:noFill/>
                  </pic:spPr>
                </pic:pic>
              </a:graphicData>
            </a:graphic>
          </wp:anchor>
        </w:drawing>
        <w:drawing>
          <wp:anchor simplePos="0" relativeHeight="251657728" behindDoc="1" locked="0" layoutInCell="0" allowOverlap="1">
            <wp:simplePos x="0" y="0"/>
            <wp:positionH relativeFrom="column">
              <wp:posOffset>811530</wp:posOffset>
            </wp:positionH>
            <wp:positionV relativeFrom="paragraph">
              <wp:posOffset>-113665</wp:posOffset>
            </wp:positionV>
            <wp:extent cx="73025" cy="730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extLst>
                    </a:blip>
                    <a:srcRect/>
                    <a:stretch>
                      <a:fillRect/>
                    </a:stretch>
                  </pic:blipFill>
                  <pic:spPr bwMode="auto">
                    <a:xfrm>
                      <a:off x="0" y="0"/>
                      <a:ext cx="73025" cy="73025"/>
                    </a:xfrm>
                    <a:prstGeom prst="rect">
                      <a:avLst/>
                    </a:prstGeom>
                    <a:noFill/>
                  </pic:spPr>
                </pic:pic>
              </a:graphicData>
            </a:graphic>
          </wp:anchor>
        </w:drawing>
        <w:drawing>
          <wp:anchor simplePos="0" relativeHeight="251657728" behindDoc="1" locked="0" layoutInCell="0" allowOverlap="1">
            <wp:simplePos x="0" y="0"/>
            <wp:positionH relativeFrom="column">
              <wp:posOffset>2524760</wp:posOffset>
            </wp:positionH>
            <wp:positionV relativeFrom="paragraph">
              <wp:posOffset>-113665</wp:posOffset>
            </wp:positionV>
            <wp:extent cx="73025" cy="730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extLst>
                    </a:blip>
                    <a:srcRect/>
                    <a:stretch>
                      <a:fillRect/>
                    </a:stretch>
                  </pic:blipFill>
                  <pic:spPr bwMode="auto">
                    <a:xfrm>
                      <a:off x="0" y="0"/>
                      <a:ext cx="73025" cy="73025"/>
                    </a:xfrm>
                    <a:prstGeom prst="rect">
                      <a:avLst/>
                    </a:prstGeom>
                    <a:noFill/>
                  </pic:spPr>
                </pic:pic>
              </a:graphicData>
            </a:graphic>
          </wp:anchor>
        </w:drawing>
        <w:drawing>
          <wp:anchor simplePos="0" relativeHeight="251657728" behindDoc="1" locked="0" layoutInCell="0" allowOverlap="1">
            <wp:simplePos x="0" y="0"/>
            <wp:positionH relativeFrom="column">
              <wp:posOffset>302895</wp:posOffset>
            </wp:positionH>
            <wp:positionV relativeFrom="paragraph">
              <wp:posOffset>-1758315</wp:posOffset>
            </wp:positionV>
            <wp:extent cx="2602865" cy="8636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extLst>
                    </a:blip>
                    <a:srcRect/>
                    <a:stretch>
                      <a:fillRect/>
                    </a:stretch>
                  </pic:blipFill>
                  <pic:spPr bwMode="auto">
                    <a:xfrm>
                      <a:off x="0" y="0"/>
                      <a:ext cx="2602865" cy="8636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67" w:lineRule="exact"/>
        <w:rPr>
          <w:sz w:val="20"/>
          <w:szCs w:val="20"/>
          <w:color w:val="auto"/>
        </w:rPr>
      </w:pPr>
    </w:p>
    <w:p>
      <w:pPr xmlns:w="http://schemas.openxmlformats.org/wordprocessingml/2006/main">
        <w:jc w:val="both"/>
        <w:spacing w:after="0" w:line="274" w:lineRule="auto"/>
        <w:rPr>
          <w:sz w:val="20"/>
          <w:szCs w:val="20"/>
          <w:color w:val="auto"/>
        </w:rPr>
      </w:pPr>
      <w:r>
        <w:rPr xmlns:w="http://schemas.openxmlformats.org/wordprocessingml/2006/main">
          <w:rFonts w:ascii="Arial" w:cs="Arial" w:eastAsia="Arial" w:hAnsi="Arial"/>
          <w:sz w:val="14"/>
          <w:szCs w:val="14"/>
          <w:color w:val="auto"/>
        </w:rPr>
        <w:t xml:space="preserve">De prestaties zijn niet constant in de tijd en zijn geen garantie voor toekomstige prestaties.</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jaarprestaties die in deze grafiek worden gepresenteerd, worden berekend na aftrek van alle door het Fonds in rekening gebrachte vergoedingen.</w:t>
      </w:r>
      <w:r>
        <w:rPr xmlns:w="http://schemas.openxmlformats.org/wordprocessingml/2006/main">
          <w:rFonts w:ascii="Arial" w:cs="Arial" w:eastAsia="Arial" w:hAnsi="Arial"/>
          <w:sz w:val="14"/>
          <w:szCs w:val="14"/>
          <w:color w:val="auto"/>
        </w:rPr>
        <w:t xml:space="preserve"> De SICAV werd opgericht op 6 september 2018.</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 referentievaluta is</w:t>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 euro.</w:t>
      </w:r>
    </w:p>
    <w:p>
      <w:pPr>
        <w:spacing w:after="0" w:line="19" w:lineRule="exact"/>
        <w:rPr>
          <w:sz w:val="20"/>
          <w:szCs w:val="20"/>
          <w:color w:val="auto"/>
        </w:rPr>
      </w:pPr>
    </w:p>
    <w:p>
      <w:pPr xmlns:w="http://schemas.openxmlformats.org/wordprocessingml/2006/main">
        <w:jc w:val="both"/>
        <w:spacing w:after="0" w:line="275" w:lineRule="auto"/>
        <w:rPr>
          <w:sz w:val="20"/>
          <w:szCs w:val="20"/>
          <w:color w:val="auto"/>
        </w:rPr>
      </w:pPr>
      <w:r>
        <w:rPr xmlns:w="http://schemas.openxmlformats.org/wordprocessingml/2006/main">
          <w:rFonts w:ascii="Arial" w:cs="Arial" w:eastAsia="Arial" w:hAnsi="Arial"/>
          <w:sz w:val="14"/>
          <w:szCs w:val="14"/>
          <w:color w:val="auto"/>
        </w:rPr>
        <w:t xml:space="preserve">Wanneer de Benchmark-index in een andere valuta dan die van het Fonds luidt, wordt de prestatie van de Benchmark-index eerst voor duidelijkheid en vergelijkingsdoeleinden omgezet in de valuta van het Fonds.</w:t>
      </w:r>
      <w:r>
        <w:rPr xmlns:w="http://schemas.openxmlformats.org/wordprocessingml/2006/main">
          <w:rFonts w:ascii="Arial" w:cs="Arial" w:eastAsia="Arial" w:hAnsi="Arial"/>
          <w:sz w:val="14"/>
          <w:szCs w:val="14"/>
          <w:color w:val="auto"/>
        </w:rPr>
        <w:t xml:space="preserve"> Hiertoe wordt dagelijks een valutatransactie (tegen de prijs van WM Reuters om 17:00 uur op de dag in kwestie) toegepast op de waarde van de Benchmark Index.</w:t>
      </w:r>
    </w:p>
    <w:p>
      <w:pPr>
        <w:spacing w:after="0" w:line="979" w:lineRule="exact"/>
        <w:rPr>
          <w:sz w:val="20"/>
          <w:szCs w:val="20"/>
          <w:color w:val="auto"/>
        </w:rPr>
      </w:pPr>
    </w:p>
    <w:p>
      <w:pPr>
        <w:sectPr>
          <w:pgSz w:w="11900" w:h="16838" w:orient="portrait"/>
          <w:cols w:equalWidth="0" w:num="2">
            <w:col w:w="5140" w:space="200"/>
            <w:col w:w="4560"/>
          </w:cols>
          <w:pgMar w:left="1000" w:top="1088" w:right="1006" w:bottom="0" w:gutter="0" w:footer="0" w:header="0"/>
          <w:type w:val="continuous"/>
        </w:sectPr>
      </w:pPr>
    </w:p>
    <w:p>
      <w:pPr xmlns:w="http://schemas.openxmlformats.org/wordprocessingml/2006/main">
        <w:ind w:left="220" w:hanging="120"/>
        <w:spacing w:after="0"/>
        <w:tabs>
          <w:tab w:leader="none" w:pos="220"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Tot 26 oktober 2021 was de Benchmark Index van het Fonds de World Water cw Total Return Index.</w:t>
      </w:r>
    </w:p>
    <w:p>
      <w:pPr>
        <w:spacing w:after="0" w:line="85" w:lineRule="exact"/>
        <w:rPr>
          <w:rFonts w:ascii="Arial" w:cs="Arial" w:eastAsia="Arial" w:hAnsi="Arial"/>
          <w:sz w:val="10"/>
          <w:szCs w:val="10"/>
          <w:color w:val="auto"/>
        </w:rPr>
      </w:pPr>
    </w:p>
    <w:p>
      <w:pPr xmlns:w="http://schemas.openxmlformats.org/wordprocessingml/2006/main">
        <w:ind w:left="100" w:right="4840"/>
        <w:spacing w:after="0" w:line="266" w:lineRule="auto"/>
        <w:tabs>
          <w:tab w:leader="none" w:pos="222" w:val="left"/>
        </w:tabs>
        <w:numPr>
          <w:ilvl w:val="0"/>
          <w:numId w:val="1"/>
        </w:numPr>
        <w:rPr>
          <w:rFonts w:ascii="Arial" w:cs="Arial" w:eastAsia="Arial" w:hAnsi="Arial"/>
          <w:sz w:val="9"/>
          <w:szCs w:val="9"/>
          <w:color w:val="auto"/>
        </w:rPr>
      </w:pPr>
      <w:r>
        <w:rPr xmlns:w="http://schemas.openxmlformats.org/wordprocessingml/2006/main">
          <w:rFonts w:ascii="Arial" w:cs="Arial" w:eastAsia="Arial" w:hAnsi="Arial"/>
          <w:sz w:val="9"/>
          <w:szCs w:val="9"/>
          <w:color w:val="auto"/>
        </w:rPr>
        <w:t xml:space="preserve">Tot 6 september 2018 kwamen de prestaties van het fonds overeen met die van de LYXOR WORLD WATER UCITS ETF (het geabsorbeerde fonds).</w:t>
      </w:r>
      <w:r>
        <w:rPr xmlns:w="http://schemas.openxmlformats.org/wordprocessingml/2006/main">
          <w:rFonts w:ascii="Arial" w:cs="Arial" w:eastAsia="Arial" w:hAnsi="Arial"/>
          <w:sz w:val="9"/>
          <w:szCs w:val="9"/>
          <w:color w:val="auto"/>
        </w:rPr>
        <w:t xml:space="preserve"> Laatstgenoemde werd op 6 september 2018 door het Fonds geabsorbeerd.</w:t>
      </w:r>
    </w:p>
    <w:p>
      <w:pPr xmlns:w="http://schemas.openxmlformats.org/wordprocessingml/2006/main">
        <w:ind w:left="100" w:right="4960"/>
        <w:spacing w:after="0" w:line="208" w:lineRule="auto"/>
        <w:tabs>
          <w:tab w:leader="none" w:pos="228"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Tot 7 oktober 2020 kwamen de prestaties van het fonds overeen met een indirecte replicatie van de benchmarkindex.</w:t>
      </w:r>
      <w:r>
        <w:rPr xmlns:w="http://schemas.openxmlformats.org/wordprocessingml/2006/main">
          <w:rFonts w:ascii="Arial" w:cs="Arial" w:eastAsia="Arial" w:hAnsi="Arial"/>
          <w:sz w:val="10"/>
          <w:szCs w:val="10"/>
          <w:color w:val="auto"/>
        </w:rPr>
        <w:t xml:space="preserve"> Vanaf 8 oktober 2020 komen de prestaties van het Fonds overeen met een directe replicatie van de Benchmark-index.</w:t>
      </w:r>
    </w:p>
    <w:p>
      <w:pPr>
        <w:spacing w:after="0" w:line="1" w:lineRule="exact"/>
        <w:rPr>
          <w:rFonts w:ascii="Arial" w:cs="Arial" w:eastAsia="Arial" w:hAnsi="Arial"/>
          <w:sz w:val="10"/>
          <w:szCs w:val="10"/>
          <w:color w:val="auto"/>
        </w:rPr>
      </w:pPr>
    </w:p>
    <w:p>
      <w:pPr xmlns:w="http://schemas.openxmlformats.org/wordprocessingml/2006/main">
        <w:ind w:left="100" w:right="4840"/>
        <w:spacing w:after="0" w:line="231" w:lineRule="auto"/>
        <w:tabs>
          <w:tab w:leader="none" w:pos="228" w:val="left"/>
        </w:tabs>
        <w:numPr>
          <w:ilvl w:val="0"/>
          <w:numId w:val="1"/>
        </w:numPr>
        <w:rPr>
          <w:rFonts w:ascii="Arial" w:cs="Arial" w:eastAsia="Arial" w:hAnsi="Arial"/>
          <w:sz w:val="9"/>
          <w:szCs w:val="9"/>
          <w:color w:val="auto"/>
        </w:rPr>
      </w:pPr>
      <w:r>
        <w:rPr xmlns:w="http://schemas.openxmlformats.org/wordprocessingml/2006/main">
          <w:rFonts w:ascii="Arial" w:cs="Arial" w:eastAsia="Arial" w:hAnsi="Arial"/>
          <w:sz w:val="9"/>
          <w:szCs w:val="9"/>
          <w:color w:val="auto"/>
        </w:rPr>
        <w:t xml:space="preserve">Tot 6 september 2018 kwamen de prestaties van het fonds overeen met die van de LYXOR WORLD WATER UCITS ETF (het geabsorbeerde fonds).</w:t>
      </w:r>
      <w:r>
        <w:rPr xmlns:w="http://schemas.openxmlformats.org/wordprocessingml/2006/main">
          <w:rFonts w:ascii="Arial" w:cs="Arial" w:eastAsia="Arial" w:hAnsi="Arial"/>
          <w:sz w:val="9"/>
          <w:szCs w:val="9"/>
          <w:color w:val="auto"/>
        </w:rPr>
        <w:t xml:space="preserve"> Laatstgenoemde werd op 6 september 2018 door het Fonds geabsorbeerd.</w:t>
      </w:r>
    </w:p>
    <w:p>
      <w:pPr xmlns:w="http://schemas.openxmlformats.org/wordprocessingml/2006/main">
        <w:ind w:left="100" w:right="4960"/>
        <w:spacing w:after="0" w:line="212" w:lineRule="auto"/>
        <w:tabs>
          <w:tab w:leader="none" w:pos="222"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Tot 7 oktober 2020 kwamen de prestaties van het fonds overeen met een indirecte replicatie van de benchmarkindex.</w:t>
      </w:r>
      <w:r>
        <w:rPr xmlns:w="http://schemas.openxmlformats.org/wordprocessingml/2006/main">
          <w:rFonts w:ascii="Arial" w:cs="Arial" w:eastAsia="Arial" w:hAnsi="Arial"/>
          <w:sz w:val="10"/>
          <w:szCs w:val="10"/>
          <w:color w:val="auto"/>
        </w:rPr>
        <w:t xml:space="preserve"> Vanaf 8 oktober 2020 komen de prestaties van het Fonds overeen met een directe replicatie van de Benchmark-index.</w:t>
      </w:r>
    </w:p>
    <w:p>
      <w:pPr>
        <w:spacing w:after="0" w:line="7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Praktische informatie</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23" o:spid="_x0000_s1048"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Naam van de depositaris: SOCIETE GENERALE.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-96520</wp:posOffset>
            </wp:positionV>
            <wp:extent cx="88900" cy="889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Naam van de marktmaker: SOCIETE GENERALE / LANG &amp; SCHWARZ.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Vertegenwoordiger in Zwitserland: Société Générale, Paris, Zürich Branch, bij Talacker 50, 8001 Zürich.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Betaaldienstverlener in Zwitserland: Société Générale, Paris, Zürich Branch, Talacker 50, 8001 Zürich.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meest recente prospectus en de meest recente periodieke informatiedocumenten, alsmede alle andere nuttige informatie, zijn kosteloos verkrijgbaar bij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De bijgewerkte gegevens over het beloningsbeleid van de beheermaatschappij zijn op haar website of op schriftelijk verzoek kosteloos beschikbaar.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Dit beleid beschrijft met name de berekeningsmethoden die worden toegepast op de beloning en de voordelen van bepaalde categorieën werknemers, de entiteiten die verantwoordelijk zijn voor de toerekening ervan en de samenstelling van het remuneratiecomité.</w:t>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De intrinsieke waarde van het Fonds is beschikbaar op verzoek van de Beheermaatschappij en op haar website amundietf.com.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Informatie over market-makers, aandelenmarkten en handelsprocedures is beschikbaar op de website van het Fonds op amundietf.com.</w:t>
      </w:r>
      <w:r>
        <w:rPr xmlns:w="http://schemas.openxmlformats.org/wordprocessingml/2006/main">
          <w:rFonts w:ascii="Arial" w:cs="Arial" w:eastAsia="Arial" w:hAnsi="Arial"/>
          <w:sz w:val="14"/>
          <w:szCs w:val="14"/>
          <w:color w:val="auto"/>
        </w:rPr>
        <w:t xml:space="preserve"> De indicatieve intrinsieke waarde wordt door de beursexploitant tijdens de handelsuren in real time gepubliceerd.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firstLine="4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De icbe is niet beschikbaar voor ingezetenen van de Verenigde Staten van Amerika/"U.S. Person", zoals gedefinieerd op de website van de beheermaatschappij: amundietf.com en/of in het 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Het transparantiebeleid en informatie over de samenstelling van de activa van de fondsen zijn beschikbaar op amundietf.com.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Afhankelijk van uw persoonlijke belastingpositie, kunnen vermogenswinsten en eventuele inkomsten die verband houden met het houden van effecten in het fonds onderworpen zijn aan belasting.</w:t>
      </w:r>
      <w:r>
        <w:rPr xmlns:w="http://schemas.openxmlformats.org/wordprocessingml/2006/main">
          <w:rFonts w:ascii="Arial" w:cs="Arial" w:eastAsia="Arial" w:hAnsi="Arial"/>
          <w:sz w:val="14"/>
          <w:szCs w:val="14"/>
          <w:color w:val="auto"/>
        </w:rPr>
        <w:t xml:space="preserve"> Wij adviseren u om uw gebruikelijke adviseur te raadplegen.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96" w:lineRule="auto"/>
        <w:rPr>
          <w:sz w:val="20"/>
          <w:szCs w:val="20"/>
          <w:color w:val="auto"/>
        </w:rPr>
      </w:pPr>
      <w:r>
        <w:rPr xmlns:w="http://schemas.openxmlformats.org/wordprocessingml/2006/main">
          <w:rFonts w:ascii="Arial" w:cs="Arial" w:eastAsia="Arial" w:hAnsi="Arial"/>
          <w:sz w:val="14"/>
          <w:szCs w:val="14"/>
          <w:color w:val="auto"/>
        </w:rPr>
        <w:t xml:space="preserve">Amundi Asset Management kan alleen aansprakelijk worden gesteld op basis van verklaringen in dit document die misleidend, onnauwkeurig of niet in overeenstemming zijn met de overeenkomstige delen van het prospectus van de icbe.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-235585</wp:posOffset>
            </wp:positionV>
            <wp:extent cx="88900" cy="889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Dit fonds is goedgekeurd in Frankrijk en gereguleerd door de Franse marktregulator (AMF).</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Amundi Asset Management is geautoriseerd in Frankrijk en wordt gereguleerd door de Autorité des Marchés Financiers (de Franse toezichthouder op de financiële markten).</w:t>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Deze essentiële beleggersinformatie is accuraat per 12 oktober 2023.</w:t>
      </w:r>
    </w:p>
    <w:p>
      <w:pPr>
        <w:sectPr>
          <w:pgSz w:w="11900" w:h="16838" w:orient="portrait"/>
          <w:cols w:equalWidth="0" w:num="1">
            <w:col w:w="9900"/>
          </w:cols>
          <w:pgMar w:left="1000" w:top="1088" w:right="100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xmlns:w="http://schemas.openxmlformats.org/wordprocessingml/2006/main">
        <w:ind w:left="9440"/>
        <w:spacing w:after="0"/>
        <w:rPr>
          <w:sz w:val="20"/>
          <w:szCs w:val="20"/>
          <w:color w:val="auto"/>
        </w:rPr>
      </w:pPr>
      <w:r>
        <w:rPr xmlns:w="http://schemas.openxmlformats.org/wordprocessingml/2006/main">
          <w:rFonts w:ascii="Arial" w:cs="Arial" w:eastAsia="Arial" w:hAnsi="Arial"/>
          <w:sz w:val="14"/>
          <w:szCs w:val="14"/>
          <w:color w:val="auto"/>
        </w:rPr>
        <w:t xml:space="preserve">2/2</w:t>
      </w:r>
    </w:p>
    <w:sectPr>
      <w:pgSz w:w="11900" w:h="16838" w:orient="portrait"/>
      <w:cols w:equalWidth="0" w:num="1">
        <w:col w:w="9900"/>
      </w:cols>
      <w:pgMar w:left="1000" w:top="1088" w:right="100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C495686"/>
    <w:multiLevelType w:val="hybridMultilevel"/>
    <w:lvl w:ilvl="0">
      <w:lvlJc w:val="left"/>
      <w:lvlText w:val="%1:"/>
      <w:numFmt w:val="upperLetter"/>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2024-06-24T10:10:48Z</dcterms:created>
  <dcterms:modified xsi:type="dcterms:W3CDTF">2024-06-24T10:10:48Z</dcterms:modified>
</cp:coreProperties>
</file>