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68.4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68.4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3099435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4.05pt" to="568.4pt,24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3959225</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11.75pt" to="568.4pt,311.7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50074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007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01.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50074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007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01.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Standaardigeschuldoptie (Short Call)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gestandaardiseerde opties voor schuldbewijzen</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Verordening (EU) nr. 1286/2014 voor gestandaardiseerde opties voor schuldbewijzen (a / k / a "beursgenoteerde opties").</w:t>
      </w:r>
      <w:r>
        <w:rPr xmlns:w="http://schemas.openxmlformats.org/wordprocessingml/2006/main">
          <w:rFonts w:ascii="Calibri" w:cs="Calibri" w:eastAsia="Calibri" w:hAnsi="Calibri"/>
          <w:sz w:val="22"/>
          <w:szCs w:val="22"/>
          <w:color w:val="auto"/>
        </w:rPr>
        <w:t xml:space="preserve"> Standaardopties voor schuldbewijzen worden genoteerd en verhandeld op Amerikaanse optiesbeurzen die zijn geregistreerd bij de Amerikaanse Securities and Exchange Commission ("SEC") en worden uitgegeven, gecleard en afgewikkeld door OCC, een in de SEC geregistreerd clearingagentschap.</w:t>
      </w:r>
      <w:r>
        <w:rPr xmlns:w="http://schemas.openxmlformats.org/wordprocessingml/2006/main">
          <w:rFonts w:ascii="Calibri" w:cs="Calibri" w:eastAsia="Calibri" w:hAnsi="Calibri"/>
          <w:sz w:val="22"/>
          <w:szCs w:val="22"/>
          <w:color w:val="auto"/>
        </w:rPr>
        <w:t xml:space="preserve"> Voor meer informatie, inclusief de contactgegevens voor de Amerikaanse opties beurzen, kunnen beleggers de website van OCC bezoeken op</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of contact opnemen met OCC op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229"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niet handelen in opties voor schuldbewijzen totdat zij dit document en het bijbehorende risicoinformatiedocument dat is ingediend bij de SEC, </w:t>
      </w:r>
      <w:r>
        <w:rPr xmlns:w="http://schemas.openxmlformats.org/wordprocessingml/2006/main">
          <w:rFonts w:ascii="Calibri" w:cs="Calibri" w:eastAsia="Calibri" w:hAnsi="Calibri"/>
          <w:sz w:val="22"/>
          <w:szCs w:val="22"/>
          <w:u w:val="single" w:color="auto"/>
          <w:color w:val="auto"/>
        </w:rPr>
        <w:t xml:space="preserve">Kenmerken en risico's van gestandaardiseerde opties</w:t>
      </w:r>
      <w:r>
        <w:rPr xmlns:w="http://schemas.openxmlformats.org/wordprocessingml/2006/main">
          <w:rFonts w:ascii="Calibri" w:cs="Calibri" w:eastAsia="Calibri" w:hAnsi="Calibri"/>
          <w:sz w:val="22"/>
          <w:szCs w:val="22"/>
          <w:color w:val="auto"/>
        </w:rPr>
        <w:t xml:space="preserve">, ook bekend als het optieinformatiedocument ("ODD")</w:t>
      </w:r>
      <w:r>
        <w:rPr xmlns:w="http://schemas.openxmlformats.org/wordprocessingml/2006/main">
          <w:rFonts w:ascii="Calibri" w:cs="Calibri" w:eastAsia="Calibri" w:hAnsi="Calibri"/>
          <w:sz w:val="22"/>
          <w:szCs w:val="22"/>
          <w:color w:val="auto"/>
        </w:rPr>
        <w:t xml:space="preserve"> hebben gelezen</w:t>
      </w:r>
      <w:r>
        <w:rPr xmlns:w="http://schemas.openxmlformats.org/wordprocessingml/2006/main">
          <w:rFonts w:ascii="Calibri" w:cs="Calibri" w:eastAsia="Calibri" w:hAnsi="Calibri"/>
          <w:sz w:val="22"/>
          <w:szCs w:val="22"/>
          <w:u w:val="single" w:color="auto"/>
          <w:color w:val="auto"/>
        </w:rPr>
        <w:t xml:space="preserve"> en</w:t>
      </w:r>
      <w:r>
        <w:rPr xmlns:w="http://schemas.openxmlformats.org/wordprocessingml/2006/main">
          <w:rFonts w:ascii="Calibri" w:cs="Calibri" w:eastAsia="Calibri" w:hAnsi="Calibri"/>
          <w:sz w:val="22"/>
          <w:szCs w:val="22"/>
          <w:color w:val="auto"/>
        </w:rPr>
        <w:t xml:space="preserve"> begrepen</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Openbaarmakingen hierin moeten worden geïnterpreteerd op een manier die consistent is met de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422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4220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9.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5"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Er zijn twee soorten obligaties opties.</w:t>
      </w:r>
      <w:r>
        <w:rPr xmlns:w="http://schemas.openxmlformats.org/wordprocessingml/2006/main">
          <w:rFonts w:ascii="Calibri" w:cs="Calibri" w:eastAsia="Calibri" w:hAnsi="Calibri"/>
          <w:sz w:val="22"/>
          <w:szCs w:val="22"/>
          <w:color w:val="auto"/>
        </w:rPr>
        <w:t xml:space="preserve"> Prijsgebaseerde opties geven de houder (koper) het recht een bepaald onderliggend schuldbewijs te kopen of te verkopen of een contante betaling te ontvangen op basis van de waarde van een onderliggend schuldbewijs.</w:t>
      </w:r>
      <w:r>
        <w:rPr xmlns:w="http://schemas.openxmlformats.org/wordprocessingml/2006/main">
          <w:rFonts w:ascii="Calibri" w:cs="Calibri" w:eastAsia="Calibri" w:hAnsi="Calibri"/>
          <w:sz w:val="22"/>
          <w:szCs w:val="22"/>
          <w:color w:val="auto"/>
        </w:rPr>
        <w:t xml:space="preserve"> Op rendement gebaseerde opties geven houders het recht om contanten te ontvangen, op basis van het verschil tussen de uitoefenprijs en de waarde van een onderliggend rendement.</w:t>
      </w:r>
      <w:r>
        <w:rPr xmlns:w="http://schemas.openxmlformats.org/wordprocessingml/2006/main">
          <w:rFonts w:ascii="Calibri" w:cs="Calibri" w:eastAsia="Calibri" w:hAnsi="Calibri"/>
          <w:sz w:val="22"/>
          <w:szCs w:val="22"/>
          <w:color w:val="auto"/>
        </w:rPr>
        <w:t xml:space="preserve"> De blootstelling aan het onderliggende schuldbewijs is derhalve indirect voor beide soorten opties voor schuldbewijzen, omdat de waarde van de optie wordt afgeleid van de waarde van het onderliggende effect.</w:t>
      </w:r>
      <w:r>
        <w:rPr xmlns:w="http://schemas.openxmlformats.org/wordprocessingml/2006/main">
          <w:rFonts w:ascii="Calibri" w:cs="Calibri" w:eastAsia="Calibri" w:hAnsi="Calibri"/>
          <w:sz w:val="22"/>
          <w:szCs w:val="22"/>
          <w:color w:val="auto"/>
        </w:rPr>
        <w:t xml:space="preserve"> Vervaldata voor opties voor schuldbewijzen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waarin de voorwaarden van een optie duidelijk onjuist zijn, kan de uitwisseling waarop uw transactie wordt uitgevoerd de optie eenzijdig beëindigen binnen een bepaalde periode na de uitvoering ervan.</w:t>
      </w:r>
      <w:r>
        <w:rPr xmlns:w="http://schemas.openxmlformats.org/wordprocessingml/2006/main">
          <w:rFonts w:ascii="Calibri" w:cs="Calibri" w:eastAsia="Calibri" w:hAnsi="Calibri"/>
          <w:sz w:val="22"/>
          <w:szCs w:val="22"/>
          <w:color w:val="auto"/>
        </w:rPr>
        <w:t xml:space="preserve"> In bepaalde gevallen kan een collectieve actie met betrekking tot de onderliggende aandeleneffecten resulteren in een wijziging van de voorwaarden van de optie overeenkomstig de regels van OCC, die kunnen verschillen van de methodologie die wordt gebruikt in de Europese optiemarkten.</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5" w:lineRule="exact"/>
        <w:rPr>
          <w:sz w:val="24"/>
          <w:szCs w:val="24"/>
          <w:color w:val="auto"/>
        </w:rPr>
      </w:pPr>
    </w:p>
    <w:p>
      <w:pPr xmlns:w="http://schemas.openxmlformats.org/wordprocessingml/2006/main">
        <w:ind w:right="8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opdracht krijgt toegewezen – om volgens de voorwaarden te presteren om het onderliggende schuldbewijs tegen de uitoefenprijs te kopen of te verkopen of om contanten te leveren op basis van het verschil tussen de uitoefenprijs en de waarde van het onderliggende schuldbewijs.</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Opties op basis van rendement zijn typisch Europese opties.</w:t>
      </w:r>
      <w:r>
        <w:rPr xmlns:w="http://schemas.openxmlformats.org/wordprocessingml/2006/main">
          <w:rFonts w:ascii="Calibri" w:cs="Calibri" w:eastAsia="Calibri" w:hAnsi="Calibri"/>
          <w:sz w:val="22"/>
          <w:szCs w:val="22"/>
          <w:color w:val="auto"/>
        </w:rPr>
        <w:t xml:space="preserve"> Factoren die van invloed zijn op de waarde van een optie zijn onder meer de uitoefenprijs, de tijd tot het verstrijken en de waarde van het onderliggende effect en zijn gevoeligheid voor prijsschommelingen (volatiliteit).</w:t>
      </w:r>
    </w:p>
    <w:p>
      <w:pPr>
        <w:spacing w:after="0" w:line="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4"/>
          <w:szCs w:val="24"/>
          <w:color w:val="auto"/>
        </w:rPr>
      </w:pPr>
    </w:p>
    <w:p>
      <w:pPr xmlns:w="http://schemas.openxmlformats.org/wordprocessingml/2006/main">
        <w:ind w:right="40"/>
        <w:spacing w:after="0" w:line="224"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8pt"/>
            </w:pict>
          </mc:Fallback>
        </mc:AlternateContent>
      </w:r>
    </w:p>
    <w:p>
      <w:pPr>
        <w:sectPr>
          <w:pgSz w:w="12240" w:h="15840" w:orient="portrait"/>
          <w:cols w:equalWidth="0" w:num="1">
            <w:col w:w="10300"/>
          </w:cols>
          <w:pgMar w:left="940" w:top="627"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16495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649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5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916495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649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5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0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optievoorwaarden, maar kan het volgende omvatten:</w:t>
      </w:r>
    </w:p>
    <w:p>
      <w:pPr>
        <w:spacing w:after="0" w:line="79" w:lineRule="exact"/>
        <w:rPr>
          <w:sz w:val="20"/>
          <w:szCs w:val="20"/>
          <w:color w:val="auto"/>
        </w:rPr>
      </w:pPr>
    </w:p>
    <w:p>
      <w:pPr xmlns:w="http://schemas.openxmlformats.org/wordprocessingml/2006/main">
        <w:ind w:left="220" w:right="120" w:hanging="214"/>
        <w:spacing w:after="0" w:line="22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call option writer die niet de eigenaar van de onderliggende veiligheid (ongedekte call) draagt het risico van potentieel onbeperkt verlies als de prijs van de onderliggende rente stijgt.</w:t>
      </w:r>
      <w:r>
        <w:rPr xmlns:w="http://schemas.openxmlformats.org/wordprocessingml/2006/main">
          <w:rFonts w:ascii="Calibri" w:cs="Calibri" w:eastAsia="Calibri" w:hAnsi="Calibri"/>
          <w:sz w:val="22"/>
          <w:szCs w:val="22"/>
          <w:color w:val="auto"/>
        </w:rPr>
        <w:t xml:space="preserve"> Een putoptieschrijver draagt het risico van een verlies gelijk aan het verschil tussen de uitoefenprijs en nul als de prijs van de onderliggende waarde daalt tot nul.</w:t>
      </w:r>
      <w:r>
        <w:rPr xmlns:w="http://schemas.openxmlformats.org/wordprocessingml/2006/main">
          <w:rFonts w:ascii="Calibri" w:cs="Calibri" w:eastAsia="Calibri" w:hAnsi="Calibri"/>
          <w:sz w:val="22"/>
          <w:szCs w:val="22"/>
          <w:color w:val="auto"/>
        </w:rPr>
        <w:t xml:space="preserve"> Schrijvers van dergelijke ongedekte oproepen en putten zijn verplicht om marge (hieronder beschreven) te plaatsen bij hun makelaar, wat extra risico's creëert.</w:t>
      </w:r>
      <w:r>
        <w:rPr xmlns:w="http://schemas.openxmlformats.org/wordprocessingml/2006/main">
          <w:rFonts w:ascii="Calibri" w:cs="Calibri" w:eastAsia="Calibri" w:hAnsi="Calibri"/>
          <w:sz w:val="22"/>
          <w:szCs w:val="22"/>
          <w:color w:val="auto"/>
        </w:rPr>
        <w:t xml:space="preserve"> Een schrijver van een op prijs gebaseerde optie die fysiek is afgewikkeld, kan worden verplicht om de verplichting na te komen om het onderliggende belang te kopen of te verkopen op elk moment waarop de optie vanwege de stijl ervan uitoefenbaar is.</w:t>
      </w:r>
    </w:p>
    <w:p>
      <w:pPr>
        <w:spacing w:after="0" w:line="80" w:lineRule="exact"/>
        <w:rPr>
          <w:rFonts w:ascii="Symbol" w:cs="Symbol" w:eastAsia="Symbol" w:hAnsi="Symbol"/>
          <w:sz w:val="22"/>
          <w:szCs w:val="22"/>
          <w:color w:val="auto"/>
        </w:rPr>
      </w:pPr>
    </w:p>
    <w:p>
      <w:pPr xmlns:w="http://schemas.openxmlformats.org/wordprocessingml/2006/main">
        <w:ind w:left="2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optiebeurs waar opties uitsluitend worden verhandeld, niet meer beschikbaar is, kunnen beleggers in die opties niet langer transacties sluiten.</w:t>
      </w:r>
      <w:r>
        <w:rPr xmlns:w="http://schemas.openxmlformats.org/wordprocessingml/2006/main">
          <w:rFonts w:ascii="Calibri" w:cs="Calibri" w:eastAsia="Calibri" w:hAnsi="Calibri"/>
          <w:sz w:val="22"/>
          <w:szCs w:val="22"/>
          <w:color w:val="auto"/>
        </w:rPr>
        <w:t xml:space="preserve"> Bovendien kunnen er momenten zijn waarop optieprijzen geen gebruikelijke of verwachte relaties onderhouden met de prijzen van onderliggende of gerelateerde belangen.</w:t>
      </w:r>
    </w:p>
    <w:p>
      <w:pPr>
        <w:spacing w:after="0" w:line="76" w:lineRule="exact"/>
        <w:rPr>
          <w:rFonts w:ascii="Symbol" w:cs="Symbol" w:eastAsia="Symbol" w:hAnsi="Symbol"/>
          <w:sz w:val="22"/>
          <w:szCs w:val="22"/>
          <w:color w:val="auto"/>
        </w:rPr>
      </w:pPr>
    </w:p>
    <w:p>
      <w:pPr xmlns:w="http://schemas.openxmlformats.org/wordprocessingml/2006/main">
        <w:ind w:left="220" w:right="2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effect voor een uitgeoefende optie die fysiek is afgewikkeld, niet beschikbaar is, kunnen de regels van OCC een alternatieve vorm van afwikkeling vereisen, zoals afwikkeling in contanten.</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2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105"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17145</wp:posOffset>
                </wp:positionV>
                <wp:extent cx="654558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1.35pt" to="515.65pt,1.3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13970</wp:posOffset>
                </wp:positionV>
                <wp:extent cx="0" cy="161290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61290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1.1pt" to="0.5pt,128.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3971925</wp:posOffset>
                </wp:positionH>
                <wp:positionV relativeFrom="paragraph">
                  <wp:posOffset>13970</wp:posOffset>
                </wp:positionV>
                <wp:extent cx="0" cy="161290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61290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2.75pt,1.1pt" to="312.75pt,128.1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6545580</wp:posOffset>
                </wp:positionH>
                <wp:positionV relativeFrom="paragraph">
                  <wp:posOffset>13970</wp:posOffset>
                </wp:positionV>
                <wp:extent cx="0" cy="161290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61290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5.4pt,1.1pt" to="515.4pt,128.1pt" o:allowincell="f" strokecolor="#000000" strokeweight="0.4799pt"/>
            </w:pict>
          </mc:Fallback>
        </mc:AlternateContent>
      </w:r>
    </w:p>
    <w:p>
      <w:pPr>
        <w:sectPr>
          <w:pgSz w:w="12240" w:h="15840" w:orient="portrait"/>
          <w:cols w:equalWidth="0" w:num="1">
            <w:col w:w="10300"/>
          </w:cols>
          <w:pgMar w:left="940" w:top="634" w:right="1000" w:bottom="229"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tbl>
      <w:tblPr>
        <w:tblLayout w:type="fixed"/>
        <w:tblInd w:w="293" w:type="dxa"/>
        <w:tblCellMar>
          <w:top w:w="0" w:type="dxa"/>
          <w:left w:w="0" w:type="dxa"/>
          <w:bottom w:w="0" w:type="dxa"/>
          <w:right w:w="0" w:type="dxa"/>
        </w:tblCellMar>
      </w:tblPr>
      <w:tr>
        <w:trPr>
          <w:trHeight w:val="220"/>
        </w:trPr>
        <w:tc>
          <w:tcPr>
            <w:tcW w:w="195"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13" w:lineRule="exact"/>
        <w:rPr>
          <w:sz w:val="20"/>
          <w:szCs w:val="20"/>
          <w:color w:val="auto"/>
        </w:rPr>
      </w:pPr>
    </w:p>
    <w:p>
      <w:pPr xmlns:w="http://schemas.openxmlformats.org/wordprocessingml/2006/main">
        <w:ind w:left="540"/>
        <w:spacing w:after="0"/>
        <w:rPr>
          <w:sz w:val="20"/>
          <w:szCs w:val="20"/>
          <w:color w:val="auto"/>
        </w:rPr>
      </w:pPr>
      <w:r>
        <w:rPr xmlns:w="http://schemas.openxmlformats.org/wordprocessingml/2006/main">
          <w:rFonts w:ascii="Calibri" w:cs="Calibri" w:eastAsia="Calibri" w:hAnsi="Calibri"/>
          <w:sz w:val="17"/>
          <w:szCs w:val="17"/>
          <w:color w:val="595959"/>
        </w:rPr>
        <w:t xml:space="preserve">P / L van het schrijven van een prijsgebaseerde oproep (Premium $ 5; Oefenprijs $ 45)</w:t>
      </w:r>
    </w:p>
    <w:p>
      <w:pPr xmlns:w="http://schemas.openxmlformats.org/wordprocessingml/2006/main">
        <w:ind w:left="60"/>
        <w:spacing w:after="0" w:line="181" w:lineRule="auto"/>
        <w:rPr>
          <w:sz w:val="20"/>
          <w:szCs w:val="20"/>
          <w:color w:val="auto"/>
        </w:rPr>
      </w:pPr>
      <w:r>
        <w:rPr xmlns:w="http://schemas.openxmlformats.org/wordprocessingml/2006/main">
          <w:rFonts w:ascii="Calibri" w:cs="Calibri" w:eastAsia="Calibri" w:hAnsi="Calibri"/>
          <w:sz w:val="18"/>
          <w:szCs w:val="18"/>
          <w:color w:val="595959"/>
        </w:rPr>
        <w:t xml:space="preserve">$ 20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307975</wp:posOffset>
            </wp:positionH>
            <wp:positionV relativeFrom="paragraph">
              <wp:posOffset>-56515</wp:posOffset>
            </wp:positionV>
            <wp:extent cx="3019425" cy="8718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extLst>
                    </a:blip>
                    <a:srcRect/>
                    <a:stretch>
                      <a:fillRect/>
                    </a:stretch>
                  </pic:blipFill>
                  <pic:spPr bwMode="auto">
                    <a:xfrm>
                      <a:off x="0" y="0"/>
                      <a:ext cx="3019425" cy="871855"/>
                    </a:xfrm>
                    <a:prstGeom prst="rect">
                      <a:avLst/>
                    </a:prstGeom>
                    <a:noFill/>
                  </pic:spPr>
                </pic:pic>
              </a:graphicData>
            </a:graphic>
          </wp:anchor>
        </w:drawing>
      </w:r>
    </w:p>
    <w:p>
      <w:pPr>
        <w:spacing w:after="0" w:line="99"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p>
      <w:pPr>
        <w:spacing w:after="0" w:line="13" w:lineRule="exact"/>
        <w:rPr>
          <w:sz w:val="20"/>
          <w:szCs w:val="20"/>
          <w:color w:val="auto"/>
        </w:rPr>
      </w:pPr>
    </w:p>
    <w:p>
      <w:pPr xmlns:w="http://schemas.openxmlformats.org/wordprocessingml/2006/main">
        <w:ind w:left="400"/>
        <w:spacing w:after="0"/>
        <w:tabs>
          <w:tab w:leader="none" w:pos="1120" w:val="left"/>
          <w:tab w:leader="none" w:pos="1920" w:val="left"/>
          <w:tab w:leader="none" w:pos="2700" w:val="left"/>
          <w:tab w:leader="none" w:pos="3500" w:val="left"/>
          <w:tab w:leader="none" w:pos="4240" w:val="left"/>
          <w:tab w:leader="none" w:pos="5020" w:val="left"/>
        </w:tabs>
        <w:rPr>
          <w:sz w:val="20"/>
          <w:szCs w:val="20"/>
          <w:color w:val="auto"/>
        </w:rPr>
      </w:pPr>
      <w:r>
        <w:rPr xmlns:w="http://schemas.openxmlformats.org/wordprocessingml/2006/main">
          <w:rFonts w:ascii="Calibri" w:cs="Calibri" w:eastAsia="Calibri" w:hAnsi="Calibri"/>
          <w:sz w:val="18"/>
          <w:szCs w:val="18"/>
          <w:color w:val="595959"/>
        </w:rPr>
        <w:t xml:space="preserve">$ 0</w:t>
        <w:tab xmlns:w="http://schemas.openxmlformats.org/wordprocessingml/2006/main"/>
      </w:r>
      <w:r>
        <w:rPr xmlns:w="http://schemas.openxmlformats.org/wordprocessingml/2006/main">
          <w:rFonts w:ascii="Calibri" w:cs="Calibri" w:eastAsia="Calibri" w:hAnsi="Calibri"/>
          <w:sz w:val="18"/>
          <w:szCs w:val="18"/>
          <w:color w:val="595959"/>
        </w:rPr>
        <w:t xml:space="preserve">$ 20</w:t>
        <w:tab xmlns:w="http://schemas.openxmlformats.org/wordprocessingml/2006/main"/>
      </w:r>
      <w:r>
        <w:rPr xmlns:w="http://schemas.openxmlformats.org/wordprocessingml/2006/main">
          <w:rFonts w:ascii="Calibri" w:cs="Calibri" w:eastAsia="Calibri" w:hAnsi="Calibri"/>
          <w:sz w:val="18"/>
          <w:szCs w:val="18"/>
          <w:color w:val="595959"/>
        </w:rPr>
        <w:t xml:space="preserve">$ 40</w:t>
        <w:tab xmlns:w="http://schemas.openxmlformats.org/wordprocessingml/2006/main"/>
      </w:r>
      <w:r>
        <w:rPr xmlns:w="http://schemas.openxmlformats.org/wordprocessingml/2006/main">
          <w:rFonts w:ascii="Calibri" w:cs="Calibri" w:eastAsia="Calibri" w:hAnsi="Calibri"/>
          <w:sz w:val="18"/>
          <w:szCs w:val="18"/>
          <w:color w:val="595959"/>
        </w:rPr>
        <w:t xml:space="preserve">$ 60</w:t>
        <w:tab xmlns:w="http://schemas.openxmlformats.org/wordprocessingml/2006/main"/>
      </w:r>
      <w:r>
        <w:rPr xmlns:w="http://schemas.openxmlformats.org/wordprocessingml/2006/main">
          <w:rFonts w:ascii="Calibri" w:cs="Calibri" w:eastAsia="Calibri" w:hAnsi="Calibri"/>
          <w:sz w:val="18"/>
          <w:szCs w:val="18"/>
          <w:color w:val="595959"/>
        </w:rPr>
        <w:t xml:space="preserve">$ 80</w:t>
        <w:tab xmlns:w="http://schemas.openxmlformats.org/wordprocessingml/2006/main"/>
      </w:r>
      <w:r>
        <w:rPr xmlns:w="http://schemas.openxmlformats.org/wordprocessingml/2006/main">
          <w:rFonts w:ascii="Calibri" w:cs="Calibri" w:eastAsia="Calibri" w:hAnsi="Calibri"/>
          <w:sz w:val="18"/>
          <w:szCs w:val="18"/>
          <w:color w:val="595959"/>
        </w:rPr>
        <w:t xml:space="preserve">$ 100</w:t>
        <w:tab xmlns:w="http://schemas.openxmlformats.org/wordprocessingml/2006/main"/>
      </w:r>
      <w:r>
        <w:rPr xmlns:w="http://schemas.openxmlformats.org/wordprocessingml/2006/main">
          <w:rFonts w:ascii="Calibri" w:cs="Calibri" w:eastAsia="Calibri" w:hAnsi="Calibri"/>
          <w:sz w:val="18"/>
          <w:szCs w:val="18"/>
          <w:color w:val="595959"/>
        </w:rPr>
        <w:t xml:space="preserve">$ 120</w:t>
      </w:r>
    </w:p>
    <w:p>
      <w:pPr>
        <w:spacing w:after="0" w:line="62" w:lineRule="exact"/>
        <w:rPr>
          <w:sz w:val="20"/>
          <w:szCs w:val="20"/>
          <w:color w:val="auto"/>
        </w:rPr>
      </w:pPr>
    </w:p>
    <w:p>
      <w:pPr xmlns:w="http://schemas.openxmlformats.org/wordprocessingml/2006/main">
        <w:jc w:val="center"/>
        <w:ind w:left="-299"/>
        <w:spacing w:after="0"/>
        <w:rPr>
          <w:sz w:val="20"/>
          <w:szCs w:val="20"/>
          <w:color w:val="auto"/>
        </w:rPr>
      </w:pPr>
      <w:r>
        <w:rPr xmlns:w="http://schemas.openxmlformats.org/wordprocessingml/2006/main">
          <w:rFonts w:ascii="Calibri" w:cs="Calibri" w:eastAsia="Calibri" w:hAnsi="Calibri"/>
          <w:sz w:val="17"/>
          <w:szCs w:val="17"/>
          <w:color w:val="595959"/>
        </w:rPr>
        <w:t xml:space="preserve">Marktprijs van de onderliggende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-351790</wp:posOffset>
                </wp:positionH>
                <wp:positionV relativeFrom="paragraph">
                  <wp:posOffset>120650</wp:posOffset>
                </wp:positionV>
                <wp:extent cx="654494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49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6999pt,9.5pt" to="487.65pt,9.5pt" o:allowincell="f" strokecolor="#000000" strokeweight="0.4799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onderliggende marktbeweging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$100</w:t>
      </w:r>
    </w:p>
    <w:p>
      <w:pPr>
        <w:spacing w:after="0" w:line="41" w:lineRule="exact"/>
        <w:rPr>
          <w:sz w:val="20"/>
          <w:szCs w:val="20"/>
          <w:color w:val="auto"/>
        </w:rPr>
      </w:pPr>
    </w:p>
    <w:p>
      <w:pPr xmlns:w="http://schemas.openxmlformats.org/wordprocessingml/2006/main">
        <w:ind w:left="300" w:hanging="153"/>
        <w:spacing w:after="0"/>
        <w:tabs>
          <w:tab w:leader="none" w:pos="30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+$ 50</w:t>
      </w:r>
    </w:p>
    <w:p>
      <w:pPr>
        <w:spacing w:after="0" w:line="2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onderliggende marktbeweging (</w:t>
      </w:r>
      <w:r>
        <w:rPr xmlns:w="http://schemas.openxmlformats.org/wordprocessingml/2006/main">
          <w:rFonts w:ascii="Calibri" w:cs="Calibri" w:eastAsia="Calibri" w:hAnsi="Calibri"/>
          <w:sz w:val="16"/>
          <w:szCs w:val="16"/>
          <w:u w:val="single" w:color="auto"/>
          <w:color w:val="00B050"/>
        </w:rPr>
        <w:t xml:space="preserve">groen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$ 60</w:t>
      </w:r>
    </w:p>
    <w:p>
      <w:pPr>
        <w:spacing w:after="0" w:line="41" w:lineRule="exact"/>
        <w:rPr>
          <w:sz w:val="20"/>
          <w:szCs w:val="20"/>
          <w:color w:val="auto"/>
        </w:rPr>
      </w:pPr>
    </w:p>
    <w:p>
      <w:pPr xmlns:w="http://schemas.openxmlformats.org/wordprocessingml/2006/main">
        <w:ind w:left="300" w:hanging="153"/>
        <w:spacing w:after="0"/>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$ 10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+$ 10</w:t>
      </w:r>
    </w:p>
    <w:p>
      <w:pPr>
        <w:spacing w:after="0" w:line="154" w:lineRule="exact"/>
        <w:rPr>
          <w:sz w:val="20"/>
          <w:szCs w:val="20"/>
          <w:color w:val="auto"/>
        </w:rPr>
      </w:pPr>
    </w:p>
    <w:p>
      <w:pPr xmlns:w="http://schemas.openxmlformats.org/wordprocessingml/2006/main">
        <w:ind w:right="18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plus de premie.</w:t>
      </w:r>
    </w:p>
    <w:p>
      <w:pPr>
        <w:spacing w:after="0" w:line="122" w:lineRule="exact"/>
        <w:rPr>
          <w:sz w:val="20"/>
          <w:szCs w:val="20"/>
          <w:color w:val="auto"/>
        </w:rPr>
      </w:pPr>
    </w:p>
    <w:p>
      <w:pPr>
        <w:sectPr>
          <w:pgSz w:w="12240" w:h="15840" w:orient="portrait"/>
          <w:cols w:equalWidth="0" w:num="3">
            <w:col w:w="488" w:space="72"/>
            <w:col w:w="5420" w:space="380"/>
            <w:col w:w="3940"/>
          </w:cols>
          <w:pgMar w:left="940" w:top="634" w:right="1000" w:bottom="229" w:gutter="0" w:footer="0" w:header="0"/>
          <w:type w:val="continuous"/>
        </w:sect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varieert op basis van hoe de waarde van de onderliggende veranderingen in de loop van de tijd verandert en hangt af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waarde en de verticale as toont de winst of het verlies van de optie.</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ontvangt.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19050</wp:posOffset>
                </wp:positionV>
                <wp:extent cx="66897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pt" to="521.4pt,1.5pt" o:allowincell="f" strokecolor="#000000" strokeweight="0.48pt"/>
            </w:pict>
          </mc:Fallback>
        </mc:AlternateContent>
      </w:r>
    </w:p>
    <w:p>
      <w:pPr>
        <w:sectPr>
          <w:pgSz w:w="12240" w:h="15840" w:orient="portrait"/>
          <w:cols w:equalWidth="0" w:num="1">
            <w:col w:w="10300"/>
          </w:cols>
          <w:pgMar w:left="940" w:top="634" w:right="1000" w:bottom="229" w:gutter="0" w:footer="0" w:header="0"/>
          <w:type w:val="continuous"/>
        </w:sectPr>
      </w:pPr>
    </w:p>
    <w:bookmarkStart w:id="2" w:name="page3"/>
    <w:bookmarkEnd w:id="2"/>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6225540</wp:posOffset>
                </wp:positionV>
                <wp:extent cx="669036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490.2pt" to="568.4pt,490.2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7766050</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1.5pt" to="568.4pt,6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729345"/>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293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19.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729345"/>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293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19.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opties liggen tussen OCC en een groep makelaarskantoren die clearingleden worden genoemd en die de posities van alle optiehouders en schrijvers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voorzien van informatie over</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Deze kosten en hoe ze uw investering beïnvloeden.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De totale kosten voor opties voor schuldbewijzen zijn afhankelijk van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meerdere factoren.</w:t>
            </w:r>
            <w:r>
              <w:rPr xmlns:w="http://schemas.openxmlformats.org/wordprocessingml/2006/main">
                <w:rFonts w:ascii="Calibri" w:cs="Calibri" w:eastAsia="Calibri" w:hAnsi="Calibri"/>
                <w:sz w:val="22"/>
                <w:szCs w:val="22"/>
                <w:color w:val="auto"/>
              </w:rPr>
              <w:t xml:space="preserve"> Een optiepremie is de betaalde kosten</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door de houder aan de schrijver.</w:t>
            </w:r>
            <w:r>
              <w:rPr xmlns:w="http://schemas.openxmlformats.org/wordprocessingml/2006/main">
                <w:rFonts w:ascii="Calibri" w:cs="Calibri" w:eastAsia="Calibri" w:hAnsi="Calibri"/>
                <w:sz w:val="22"/>
                <w:szCs w:val="22"/>
                <w:color w:val="auto"/>
              </w:rPr>
              <w:t xml:space="preserve"> Factoren met een significante</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het effect op de premie omvat, maar is niet beperkt tot,</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de prijs/opbrengst van het onderliggende effect, tijd tot</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afloop van de optie en uitoefenprijs.</w:t>
            </w:r>
            <w:r>
              <w:rPr xmlns:w="http://schemas.openxmlformats.org/wordprocessingml/2006/main">
                <w:rFonts w:ascii="Calibri" w:cs="Calibri" w:eastAsia="Calibri" w:hAnsi="Calibri"/>
                <w:sz w:val="22"/>
                <w:szCs w:val="22"/>
                <w:color w:val="auto"/>
              </w:rPr>
              <w:t xml:space="preserve"> Opties</w:t>
            </w:r>
          </w:p>
        </w:tc>
        <w:tc>
          <w:tcPr>
            <w:tcW w:w="100" w:type="dxa"/>
            <w:vAlign w:val="bottom"/>
            <w:tcBorders>
              <w:bottom w:val="single" w:sz="8" w:color="auto"/>
            </w:tcBorders>
          </w:tcPr>
          <w:p>
            <w:pPr>
              <w:spacing w:after="0"/>
              <w:rPr>
                <w:sz w:val="9"/>
                <w:szCs w:val="9"/>
                <w:color w:val="auto"/>
              </w:rPr>
            </w:pPr>
          </w:p>
        </w:tc>
        <w:tc>
          <w:tcPr>
            <w:tcW w:w="1440" w:type="dxa"/>
            <w:vAlign w:val="bottom"/>
            <w:tcBorders>
              <w:bottom w:val="single" w:sz="8" w:color="auto"/>
              <w:right w:val="single" w:sz="8" w:color="auto"/>
            </w:tcBorders>
            <w:vMerge w:val="continue"/>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2080" w:type="dxa"/>
            <w:vAlign w:val="bottom"/>
            <w:tcBorders>
              <w:bottom w:val="single" w:sz="8" w:color="auto"/>
              <w:right w:val="single" w:sz="8" w:color="auto"/>
            </w:tcBorders>
            <w:gridSpan w:val="5"/>
            <w:vMerge w:val="continue"/>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Beleggen brengt extra kosten met zich mee, inclusief belastingen</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200" w:type="dxa"/>
            <w:vAlign w:val="bottom"/>
            <w:tcBorders>
              <w:right w:val="single" w:sz="8" w:color="auto"/>
            </w:tcBorders>
          </w:tcPr>
          <w:p>
            <w:pPr xmlns:w="http://schemas.openxmlformats.org/wordprocessingml/2006/main">
              <w:ind w:left="100"/>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Overwegingen, transactiekosten en marge</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vereisten die de winst of</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2"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verlies.</w:t>
            </w:r>
            <w:r>
              <w:rPr xmlns:w="http://schemas.openxmlformats.org/wordprocessingml/2006/main">
                <w:rFonts w:ascii="Calibri" w:cs="Calibri" w:eastAsia="Calibri" w:hAnsi="Calibri"/>
                <w:sz w:val="22"/>
                <w:szCs w:val="22"/>
                <w:color w:val="auto"/>
              </w:rPr>
              <w:t xml:space="preserve"> Transactiekosten bestaan voornamelijk uit</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commissies (die worden opgelegd bij het openen, sluiten,</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uitoefening- en cessietransacties), maar ook</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Marge- en rentekosten zijn inbegrepen.</w:t>
            </w:r>
            <w:r>
              <w:rPr xmlns:w="http://schemas.openxmlformats.org/wordprocessingml/2006/main">
                <w:rFonts w:ascii="Calibri" w:cs="Calibri" w:eastAsia="Calibri" w:hAnsi="Calibri"/>
                <w:sz w:val="22"/>
                <w:szCs w:val="22"/>
                <w:color w:val="auto"/>
              </w:rPr>
              <w:t xml:space="preserve"> Marge betekent de</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activa die door een schrijver bij zijn</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makelaarskantoor als zekerheid voor de verplichting, als</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van toepassing, om de onderliggende rente te kopen of te verkopen of te betalen</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het bedrag van de afwikkeling in contanten.</w:t>
            </w:r>
            <w:r>
              <w:rPr xmlns:w="http://schemas.openxmlformats.org/wordprocessingml/2006/main">
                <w:rFonts w:ascii="Calibri" w:cs="Calibri" w:eastAsia="Calibri" w:hAnsi="Calibri"/>
                <w:sz w:val="22"/>
                <w:szCs w:val="22"/>
                <w:color w:val="auto"/>
              </w:rPr>
              <w:t xml:space="preserve"> Indien een optie wordt uitgeoefend</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En toegewezen, kan een schrijver extra kosten oplopen.</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ind w:left="220" w:right="4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1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optie uit te oefenen is een belangrijke beleggingsbeslissing voor een houder, evenals de beslissing voor zowel optiehouders als schrijvers om een bestaande optiepositie te sluiten voordat de optie verloopt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hebben beleggers als enige de verantwoordelijkheid om te bepalen of en wanneer zij hun optiecontract(en) moeten uitoefenen en of zij een bestaande optiespositie moeten sluiten.</w:t>
      </w:r>
      <w:r>
        <w:rPr xmlns:w="http://schemas.openxmlformats.org/wordprocessingml/2006/main">
          <w:rFonts w:ascii="Calibri" w:cs="Calibri" w:eastAsia="Calibri" w:hAnsi="Calibri"/>
          <w:sz w:val="22"/>
          <w:szCs w:val="22"/>
          <w:color w:val="auto"/>
        </w:rPr>
        <w:t xml:space="preserve"> Beleggers die een bestaande 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of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 w:lineRule="exact"/>
        <w:rPr>
          <w:sz w:val="20"/>
          <w:szCs w:val="20"/>
          <w:color w:val="auto"/>
        </w:rPr>
      </w:pPr>
    </w:p>
    <w:p>
      <w:pPr xmlns:w="http://schemas.openxmlformats.org/wordprocessingml/2006/main">
        <w:ind w:left="34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FINRA-Centrum voor klachten van beleggers</w:t>
        <w:tab xmlns:w="http://schemas.openxmlformats.org/wordprocessingml/2006/main"/>
      </w:r>
      <w:r>
        <w:rPr xmlns:w="http://schemas.openxmlformats.org/wordprocessingml/2006/main">
          <w:rFonts w:ascii="Calibri" w:cs="Calibri" w:eastAsia="Calibri" w:hAnsi="Calibri"/>
          <w:sz w:val="22"/>
          <w:szCs w:val="22"/>
          <w:color w:val="auto"/>
        </w:rPr>
        <w:t xml:space="preserve">VS</w:t>
      </w:r>
      <w:r>
        <w:rPr xmlns:w="http://schemas.openxmlformats.org/wordprocessingml/2006/main">
          <w:rFonts w:ascii="Calibri" w:cs="Calibri" w:eastAsia="Calibri" w:hAnsi="Calibri"/>
          <w:sz w:val="22"/>
          <w:szCs w:val="22"/>
          <w:color w:val="auto"/>
        </w:rPr>
        <w:t xml:space="preserve"> Securities and Exchange Commission</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9509 Key West Avenue</w:t>
        <w:tab xmlns:w="http://schemas.openxmlformats.org/wordprocessingml/2006/main"/>
      </w:r>
      <w:r>
        <w:rPr xmlns:w="http://schemas.openxmlformats.org/wordprocessingml/2006/main">
          <w:rFonts w:ascii="Calibri" w:cs="Calibri" w:eastAsia="Calibri" w:hAnsi="Calibri"/>
          <w:sz w:val="22"/>
          <w:szCs w:val="22"/>
          <w:color w:val="auto"/>
        </w:rPr>
        <w:t xml:space="preserve">Office of Investor Education and Advocacy</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2"/>
          <w:szCs w:val="22"/>
          <w:color w:val="auto"/>
        </w:rPr>
        <w:t xml:space="preserve">100 F Street, n.e.</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Telefoon: (240) 386-HELP (4357) Fax: (866) 397-3290</w:t>
        <w:tab xmlns:w="http://schemas.openxmlformats.org/wordprocessingml/2006/main"/>
      </w:r>
      <w:r>
        <w:rPr xmlns:w="http://schemas.openxmlformats.org/wordprocessingml/2006/main">
          <w:rFonts w:ascii="Calibri" w:cs="Calibri" w:eastAsia="Calibri" w:hAnsi="Calibri"/>
          <w:sz w:val="21"/>
          <w:szCs w:val="21"/>
          <w:color w:val="auto"/>
        </w:rPr>
        <w:t xml:space="preserve">Washington, DC 20549-0213 Fax: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187325</wp:posOffset>
                </wp:positionV>
                <wp:extent cx="669036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4.75pt" to="532.4pt,14.75pt" o:allowincell="f" strokecolor="#000000" strokeweight="0.48pt"/>
            </w:pict>
          </mc:Fallback>
        </mc:AlternateContent>
      </w:r>
    </w:p>
    <w:p>
      <w:pPr>
        <w:spacing w:after="0" w:line="25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640"/>
      </w:cols>
      <w:pgMar w:left="720" w:top="702" w:right="880" w:bottom="633"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6A7B09"/>
    <w:multiLevelType w:val="hybridMultilevel"/>
    <w:lvl w:ilvl="0">
      <w:lvlJc w:val="left"/>
      <w:lvlText w:val="·"/>
      <w:numFmt w:val="bullet"/>
      <w:start w:val="1"/>
    </w:lvl>
  </w:abstractNum>
  <w:abstractNum w:abstractNumId="1">
    <w:nsid w:val="268C3CC2"/>
    <w:multiLevelType w:val="hybridMultilevel"/>
    <w:lvl w:ilvl="0">
      <w:lvlJc w:val="left"/>
      <w:lvlText w:val="·"/>
      <w:numFmt w:val="bullet"/>
      <w:start w:val="1"/>
    </w:lvl>
  </w:abstractNum>
  <w:abstractNum w:abstractNumId="2">
    <w:nsid w:val="2FB0054E"/>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2024-06-24T11:16:28Z</dcterms:created>
  <dcterms:modified xsi:type="dcterms:W3CDTF">2024-06-24T11:16:28Z</dcterms:modified>
</cp:coreProperties>
</file>