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0</wp:posOffset>
            </wp:positionH>
            <wp:positionV relativeFrom="page">
              <wp:posOffset>0</wp:posOffset>
            </wp:positionV>
            <wp:extent cx="7560310" cy="7829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7560310" cy="78295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auto"/>
        </w:rPr>
        <w:t xml:space="preserve">Sleutelinformatiedocument</w:t>
      </w:r>
    </w:p>
    <w:p>
      <w:pPr>
        <w:spacing w:after="0" w:line="200" w:lineRule="exact"/>
        <w:rPr>
          <w:sz w:val="24"/>
          <w:szCs w:val="24"/>
          <w:color w:val="auto"/>
        </w:rPr>
      </w:pPr>
    </w:p>
    <w:p>
      <w:pPr>
        <w:spacing w:after="0" w:line="30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doel</w:t>
      </w:r>
    </w:p>
    <w:p>
      <w:pPr>
        <w:spacing w:after="0" w:line="28"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In dit document vindt u belangrijke informatie over dit beleggingsproduct.</w:t>
      </w:r>
      <w:r>
        <w:rPr xmlns:w="http://schemas.openxmlformats.org/wordprocessingml/2006/main">
          <w:rFonts w:ascii="Arial" w:cs="Arial" w:eastAsia="Arial" w:hAnsi="Arial"/>
          <w:sz w:val="16"/>
          <w:szCs w:val="16"/>
          <w:color w:val="auto"/>
        </w:rPr>
        <w:t xml:space="preserve"> Het is geen marketingmateriaal.</w:t>
      </w:r>
      <w:r>
        <w:rPr xmlns:w="http://schemas.openxmlformats.org/wordprocessingml/2006/main">
          <w:rFonts w:ascii="Arial" w:cs="Arial" w:eastAsia="Arial" w:hAnsi="Arial"/>
          <w:sz w:val="16"/>
          <w:szCs w:val="16"/>
          <w:color w:val="auto"/>
        </w:rPr>
        <w:t xml:space="preserve"> De informatie is wettelijk vereist om u te helpen de aard, risico's, kosten, potentiële winsten en verliezen van dit product te begrijpen en om u te helpen het te vergelijken met andere producten.</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voortbrengsel</w:t>
      </w:r>
    </w:p>
    <w:p>
      <w:pPr>
        <w:spacing w:after="0" w:line="22" w:lineRule="exact"/>
        <w:rPr>
          <w:sz w:val="24"/>
          <w:szCs w:val="24"/>
          <w:color w:val="auto"/>
        </w:rPr>
      </w:pP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6"/>
          <w:szCs w:val="16"/>
          <w:b w:val="1"/>
          <w:bCs w:val="1"/>
          <w:color w:val="auto"/>
        </w:rPr>
        <w:t xml:space="preserve">iShares Physical Palladium ETC</w:t>
      </w:r>
      <w:r>
        <w:rPr xmlns:w="http://schemas.openxmlformats.org/wordprocessingml/2006/main">
          <w:rFonts w:ascii="Arial" w:cs="Arial" w:eastAsia="Arial" w:hAnsi="Arial"/>
          <w:sz w:val="16"/>
          <w:szCs w:val="16"/>
          <w:color w:val="auto"/>
        </w:rPr>
        <w:t xml:space="preserve"> (de "ETC"), ISIN: </w:t>
      </w:r>
      <w:r>
        <w:rPr xmlns:w="http://schemas.openxmlformats.org/wordprocessingml/2006/main">
          <w:rFonts w:ascii="Arial" w:cs="Arial" w:eastAsia="Arial" w:hAnsi="Arial"/>
          <w:sz w:val="16"/>
          <w:szCs w:val="16"/>
          <w:b w:val="1"/>
          <w:bCs w:val="1"/>
          <w:color w:val="auto"/>
        </w:rPr>
        <w:t xml:space="preserve">IE00B4556L06</w:t>
      </w:r>
      <w:r>
        <w:rPr xmlns:w="http://schemas.openxmlformats.org/wordprocessingml/2006/main">
          <w:rFonts w:ascii="Arial" w:cs="Arial" w:eastAsia="Arial" w:hAnsi="Arial"/>
          <w:sz w:val="16"/>
          <w:szCs w:val="16"/>
          <w:color w:val="auto"/>
        </w:rPr>
        <w:t xml:space="preserve">, wordt vervaardigd door iShares Physical Metals plc (het "Bedrijf").</w:t>
      </w:r>
      <w:r>
        <w:rPr xmlns:w="http://schemas.openxmlformats.org/wordprocessingml/2006/main">
          <w:rFonts w:ascii="Arial" w:cs="Arial" w:eastAsia="Arial" w:hAnsi="Arial"/>
          <w:sz w:val="16"/>
          <w:szCs w:val="16"/>
          <w:color w:val="auto"/>
        </w:rPr>
        <w:t xml:space="preserve"> De Vennootschap is opgericht in Ierland en staat onder toezicht van de Central Bank of Ireland (de "CBI") met betrekking tot dit KID.</w:t>
      </w:r>
      <w:r>
        <w:rPr xmlns:w="http://schemas.openxmlformats.org/wordprocessingml/2006/main">
          <w:rFonts w:ascii="Arial" w:cs="Arial" w:eastAsia="Arial" w:hAnsi="Arial"/>
          <w:sz w:val="16"/>
          <w:szCs w:val="16"/>
          <w:color w:val="auto"/>
        </w:rPr>
        <w:t xml:space="preserve"> Meer informatie is beschikbaar op </w:t>
      </w:r>
      <w:r>
        <w:rPr xmlns:w="http://schemas.openxmlformats.org/wordprocessingml/2006/main">
          <w:rFonts w:ascii="Arial" w:cs="Arial" w:eastAsia="Arial" w:hAnsi="Arial"/>
          <w:sz w:val="16"/>
          <w:szCs w:val="16"/>
          <w:b w:val="1"/>
          <w:bCs w:val="1"/>
          <w:color w:val="auto"/>
        </w:rPr>
        <w:t xml:space="preserve">www.blackrock.com</w:t>
      </w:r>
      <w:r>
        <w:rPr xmlns:w="http://schemas.openxmlformats.org/wordprocessingml/2006/main">
          <w:rFonts w:ascii="Arial" w:cs="Arial" w:eastAsia="Arial" w:hAnsi="Arial"/>
          <w:sz w:val="16"/>
          <w:szCs w:val="16"/>
          <w:color w:val="auto"/>
        </w:rPr>
        <w:t xml:space="preserve"> of door te bellen naar </w:t>
      </w:r>
      <w:r>
        <w:rPr xmlns:w="http://schemas.openxmlformats.org/wordprocessingml/2006/main">
          <w:rFonts w:ascii="Arial" w:cs="Arial" w:eastAsia="Arial" w:hAnsi="Arial"/>
          <w:sz w:val="16"/>
          <w:szCs w:val="16"/>
          <w:b w:val="1"/>
          <w:bCs w:val="1"/>
          <w:color w:val="auto"/>
        </w:rPr>
        <w:t xml:space="preserve">0845 357 700</w:t>
      </w:r>
      <w:r>
        <w:rPr xmlns:w="http://schemas.openxmlformats.org/wordprocessingml/2006/main">
          <w:rFonts w:ascii="Arial" w:cs="Arial" w:eastAsia="Arial" w:hAnsi="Arial"/>
          <w:sz w:val="16"/>
          <w:szCs w:val="16"/>
          <w:color w:val="auto"/>
        </w:rPr>
        <w:t xml:space="preserve">.</w:t>
      </w:r>
      <w:r>
        <w:rPr xmlns:w="http://schemas.openxmlformats.org/wordprocessingml/2006/main">
          <w:rFonts w:ascii="Arial" w:cs="Arial" w:eastAsia="Arial" w:hAnsi="Arial"/>
          <w:sz w:val="16"/>
          <w:szCs w:val="16"/>
          <w:color w:val="auto"/>
        </w:rPr>
        <w:t xml:space="preserve"> Dit document dateert van 2 juni 2023.</w:t>
      </w: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Let op: Investeerders in Spanje - Op basis van uw rechtsgebied staat u op het punt een product te kopen dat niet eenvoudig is en moeilijk te begrijpen kan zijn.</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Wat is dit product?</w:t>
      </w:r>
    </w:p>
    <w:p>
      <w:pPr>
        <w:spacing w:after="0" w:line="16" w:lineRule="exact"/>
        <w:rPr>
          <w:sz w:val="24"/>
          <w:szCs w:val="24"/>
          <w:color w:val="auto"/>
        </w:rPr>
      </w:pPr>
    </w:p>
    <w:p>
      <w:pPr xmlns:w="http://schemas.openxmlformats.org/wordprocessingml/2006/main">
        <w:jc w:val="both"/>
        <w:spacing w:after="0" w:line="244" w:lineRule="auto"/>
        <w:rPr>
          <w:sz w:val="20"/>
          <w:szCs w:val="20"/>
          <w:color w:val="auto"/>
        </w:rPr>
      </w:pPr>
      <w:r>
        <w:rPr xmlns:w="http://schemas.openxmlformats.org/wordprocessingml/2006/main">
          <w:rFonts w:ascii="Arial" w:cs="Arial" w:eastAsia="Arial" w:hAnsi="Arial"/>
          <w:sz w:val="16"/>
          <w:szCs w:val="16"/>
          <w:b w:val="1"/>
          <w:bCs w:val="1"/>
          <w:color w:val="auto"/>
        </w:rPr>
        <w:t xml:space="preserve">Type:</w:t>
      </w:r>
      <w:r>
        <w:rPr xmlns:w="http://schemas.openxmlformats.org/wordprocessingml/2006/main">
          <w:rFonts w:ascii="Arial" w:cs="Arial" w:eastAsia="Arial" w:hAnsi="Arial"/>
          <w:sz w:val="16"/>
          <w:szCs w:val="16"/>
          <w:color w:val="auto"/>
        </w:rPr>
        <w:t xml:space="preserve"> iShares Physical Palladium ETC (de "ETC") is een reeks gedekte schuldbewijzen uitgegeven door iShares Physical Metals public limited company (de "Vennootschap") die zijn gekoppeld aan fysiek palladium.</w:t>
      </w:r>
      <w:r>
        <w:rPr xmlns:w="http://schemas.openxmlformats.org/wordprocessingml/2006/main">
          <w:rFonts w:ascii="Arial" w:cs="Arial" w:eastAsia="Arial" w:hAnsi="Arial"/>
          <w:sz w:val="16"/>
          <w:szCs w:val="16"/>
          <w:color w:val="auto"/>
        </w:rPr>
        <w:t xml:space="preserve"> De ETC-effecten zijn genoteerd aan de London Stock Exchange, zijn gestructureerd als schuldbewijzen en zijn geen rechten van deelneming in een collectieve beleggingsregeling.</w:t>
      </w:r>
    </w:p>
    <w:p>
      <w:pPr>
        <w:spacing w:after="0" w:line="1" w:lineRule="exact"/>
        <w:rPr>
          <w:sz w:val="24"/>
          <w:szCs w:val="24"/>
          <w:color w:val="auto"/>
        </w:rPr>
      </w:pPr>
    </w:p>
    <w:p>
      <w:pPr xmlns:w="http://schemas.openxmlformats.org/wordprocessingml/2006/main">
        <w:jc w:val="both"/>
        <w:spacing w:after="0" w:line="251" w:lineRule="auto"/>
        <w:rPr>
          <w:sz w:val="20"/>
          <w:szCs w:val="20"/>
          <w:color w:val="auto"/>
        </w:rPr>
      </w:pPr>
      <w:r>
        <w:rPr xmlns:w="http://schemas.openxmlformats.org/wordprocessingml/2006/main">
          <w:rFonts w:ascii="Arial" w:cs="Arial" w:eastAsia="Arial" w:hAnsi="Arial"/>
          <w:sz w:val="16"/>
          <w:szCs w:val="16"/>
          <w:b w:val="1"/>
          <w:bCs w:val="1"/>
          <w:color w:val="auto"/>
        </w:rPr>
        <w:t xml:space="preserve">Termijn:</w:t>
      </w:r>
      <w:r>
        <w:rPr xmlns:w="http://schemas.openxmlformats.org/wordprocessingml/2006/main">
          <w:rFonts w:ascii="Arial" w:cs="Arial" w:eastAsia="Arial" w:hAnsi="Arial"/>
          <w:sz w:val="16"/>
          <w:szCs w:val="16"/>
          <w:color w:val="auto"/>
        </w:rPr>
        <w:t xml:space="preserve"> De ETC heeft geen vaste bestaansduur of looptijd, maar in bepaalde omstandigheden kan een vervroegde aflossing plaatsvinden na verkiezing door de Vennootschap of (in geval van wanbetaling door de Vennootschap) door haar trustee, State Street Custodial Services (Ireland) Limited, onder voorbehoud van voorafgaande schriftelijke kennisgeving als: (a) de Vennootschap haar calloptie op elk moment uitoefent door 10 dagen van tevoren aan te kondigen dat zij de ETC-effecten inwisselt; (b) bepaalde wettelijke of reglementaire wijzigingen zich voordoen met betrekking tot de Vennootschap; (c) de Vennootschap is, of er een aanzienlijke kans bestaat dat zij verplicht zal zijn, een betaling te doen met betrekking tot, zich te registreren voor of rekening te houden voor de BTW; (d) bepaalde belangrijke dienstverleners het ontslag van de Vennootschap of de benoeming ervan wordt beëindigd en er is binnen 60 dagen geen opvolger aangesteld; e) de Vennootschap is meer dan 14 dagen in gebreke gebleven bij een betaling of levering met betrekking tot de ETC-effecten; f) de Vennootschap voldoet niet of voldoet niet aan een wezenlijke verplichting onder de voorwaarden van de ETC-effecten of de beveiligingsakte of trustakte met betrekking tot de ETC-effecten, na het verstrijken van de relevante respijtperiode; of g) de Vennootschap is onderworpen aan liquidatie.</w:t>
      </w:r>
    </w:p>
    <w:p>
      <w:pPr>
        <w:spacing w:after="0" w:line="18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Doelstellingen</w:t>
      </w:r>
    </w:p>
    <w:p>
      <w:pPr>
        <w:spacing w:after="0" w:line="14" w:lineRule="exact"/>
        <w:rPr>
          <w:sz w:val="24"/>
          <w:szCs w:val="24"/>
          <w:color w:val="auto"/>
        </w:rPr>
      </w:pPr>
    </w:p>
    <w:p>
      <w:pPr xmlns:w="http://schemas.openxmlformats.org/wordprocessingml/2006/main">
        <w:jc w:val="both"/>
        <w:ind w:left="26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De ETC-effecten zijn bedoeld om de blootstelling aan fysiek palladium te waarborgen en worden gewaardeerd op basis van de London Platinum and Palladium Market (LPPM)-palladiumprijs.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2" w:lineRule="auto"/>
        <w:rPr>
          <w:sz w:val="20"/>
          <w:szCs w:val="20"/>
          <w:color w:val="auto"/>
        </w:rPr>
      </w:pPr>
      <w:r>
        <w:rPr xmlns:w="http://schemas.openxmlformats.org/wordprocessingml/2006/main">
          <w:rFonts w:ascii="Arial" w:cs="Arial" w:eastAsia="Arial" w:hAnsi="Arial"/>
          <w:sz w:val="16"/>
          <w:szCs w:val="16"/>
          <w:color w:val="auto"/>
        </w:rPr>
        <w:t xml:space="preserve">Het bedrijf heeft een fysiek palladium.</w:t>
      </w:r>
      <w:r>
        <w:rPr xmlns:w="http://schemas.openxmlformats.org/wordprocessingml/2006/main">
          <w:rFonts w:ascii="Arial" w:cs="Arial" w:eastAsia="Arial" w:hAnsi="Arial"/>
          <w:sz w:val="16"/>
          <w:szCs w:val="16"/>
          <w:color w:val="auto"/>
        </w:rPr>
        <w:t xml:space="preserve"> Elke ETC-beveiliging heeft een recht op metaal ("Metal Entitlement", dat is de hoeveelheid fysiek palladium dat de ETC-beveiliging ondersteunt) en de dagelijkse waarde wordt berekend op basis van de dagelijkse Metal Entitlement.</w:t>
      </w:r>
      <w:r>
        <w:rPr xmlns:w="http://schemas.openxmlformats.org/wordprocessingml/2006/main">
          <w:rFonts w:ascii="Arial" w:cs="Arial" w:eastAsia="Arial" w:hAnsi="Arial"/>
          <w:sz w:val="16"/>
          <w:szCs w:val="16"/>
          <w:color w:val="auto"/>
        </w:rPr>
        <w:t xml:space="preserve"> De dagelijkse Metal Entitlement is te vinden op </w:t>
      </w:r>
      <w:r>
        <w:rPr xmlns:w="http://schemas.openxmlformats.org/wordprocessingml/2006/main">
          <w:rFonts w:ascii="Arial" w:cs="Arial" w:eastAsia="Arial" w:hAnsi="Arial"/>
          <w:sz w:val="16"/>
          <w:szCs w:val="16"/>
          <w:b w:val="1"/>
          <w:bCs w:val="1"/>
          <w:color w:val="auto"/>
        </w:rPr>
        <w:t xml:space="preserve">www.ishares.com.</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-335915</wp:posOffset>
            </wp:positionV>
            <wp:extent cx="71755" cy="717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De ETC-effecten worden genoteerd en verhandeld op de London Stock Exchange.</w:t>
      </w:r>
      <w:r>
        <w:rPr xmlns:w="http://schemas.openxmlformats.org/wordprocessingml/2006/main">
          <w:rFonts w:ascii="Arial" w:cs="Arial" w:eastAsia="Arial" w:hAnsi="Arial"/>
          <w:sz w:val="16"/>
          <w:szCs w:val="16"/>
          <w:color w:val="auto"/>
        </w:rPr>
        <w:t xml:space="preserve"> In normale omstandigheden mogen alleen geautoriseerde deelnemers de ETC-effecten rechtstreeks bij het bedrijf kopen en verkopen.</w:t>
      </w:r>
      <w:r>
        <w:rPr xmlns:w="http://schemas.openxmlformats.org/wordprocessingml/2006/main">
          <w:rFonts w:ascii="Arial" w:cs="Arial" w:eastAsia="Arial" w:hAnsi="Arial"/>
          <w:sz w:val="16"/>
          <w:szCs w:val="16"/>
          <w:color w:val="auto"/>
        </w:rPr>
        <w:t xml:space="preserve"> Beleggers die geen geautoriseerde deelnemers zijn (bv. geselecteerde financiële instellingen) kunnen de ETC-effecten doorgaans alleen kopen of verkopen op de secundaire markt (bv. via een makelaar op de London Stock Exchange) tegen de dan geldende marktprijs.</w:t>
      </w:r>
      <w:r>
        <w:rPr xmlns:w="http://schemas.openxmlformats.org/wordprocessingml/2006/main">
          <w:rFonts w:ascii="Arial" w:cs="Arial" w:eastAsia="Arial" w:hAnsi="Arial"/>
          <w:sz w:val="16"/>
          <w:szCs w:val="16"/>
          <w:color w:val="auto"/>
        </w:rPr>
        <w:t xml:space="preserve"> De geldende marktprijs waartegen de ETC-effecten op de secundaire markt verhandelen, kan afwijken van de dagwaarde van de ETC-effecten en geeft mogelijk niet nauwkeurig de prijs weer van het edelmetaal dat aan de ETC-effecten ten grondslag ligt.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-574675</wp:posOffset>
            </wp:positionV>
            <wp:extent cx="71755" cy="717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De relatie tussen het rendement op uw investering, hoe deze wordt beïnvloed en de periode waarvoor u uw investering aanhoudt, wordt hieronder beschouwd onder "Hoe lang moet ik deze aanhouden en kan ik geld vroeg opnemen?"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De palladiumprijs fluctueert dagelijks en de waarde van palladium wordt gedreven door verschillende factoren, waaronder de zeldzaamheid, het gebruik in industriële processen en het gebruik als beleggingsgrondstof.</w:t>
      </w:r>
      <w:r>
        <w:rPr xmlns:w="http://schemas.openxmlformats.org/wordprocessingml/2006/main">
          <w:rFonts w:ascii="Arial" w:cs="Arial" w:eastAsia="Arial" w:hAnsi="Arial"/>
          <w:sz w:val="16"/>
          <w:szCs w:val="16"/>
          <w:color w:val="auto"/>
        </w:rPr>
        <w:t xml:space="preserve"> De prijsstelling van edele metalen kan worden beïnvloed door fundamentele kwesties als vraag en aanbod, politieke en economische situaties (met name in landen die edele metalen produceren) en natuurrampen.</w:t>
      </w:r>
      <w:r>
        <w:rPr xmlns:w="http://schemas.openxmlformats.org/wordprocessingml/2006/main">
          <w:rFonts w:ascii="Arial" w:cs="Arial" w:eastAsia="Arial" w:hAnsi="Arial"/>
          <w:sz w:val="16"/>
          <w:szCs w:val="16"/>
          <w:color w:val="auto"/>
        </w:rPr>
        <w:t xml:space="preserve"> Deze factoren kunnen allemaal van invloed zijn op de waarde van uw investering.</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-338455</wp:posOffset>
            </wp:positionV>
            <wp:extent cx="71755" cy="717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2" w:lineRule="exact"/>
        <w:rPr>
          <w:sz w:val="24"/>
          <w:szCs w:val="24"/>
          <w:color w:val="auto"/>
        </w:rPr>
      </w:pP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Uw ETC-effecten luiden in Amerikaanse dollars, de basisvaluta van de ETC.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De ETC-effecten worden genoteerd en verhandeld in andere valuta's dan de basisvaluta op een of meer beurzen.</w:t>
      </w:r>
      <w:r>
        <w:rPr xmlns:w="http://schemas.openxmlformats.org/wordprocessingml/2006/main">
          <w:rFonts w:ascii="Arial" w:cs="Arial" w:eastAsia="Arial" w:hAnsi="Arial"/>
          <w:sz w:val="16"/>
          <w:szCs w:val="16"/>
          <w:color w:val="auto"/>
        </w:rPr>
        <w:t xml:space="preserve"> De prestaties van uw ETC-effecten kunnen worden beïnvloed door dit valutaverschil.</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Beoodigde retailbelegger:</w:t>
      </w:r>
      <w:r>
        <w:rPr xmlns:w="http://schemas.openxmlformats.org/wordprocessingml/2006/main">
          <w:rFonts w:ascii="Arial" w:cs="Arial" w:eastAsia="Arial" w:hAnsi="Arial"/>
          <w:sz w:val="16"/>
          <w:szCs w:val="16"/>
          <w:color w:val="auto"/>
        </w:rPr>
        <w:t xml:space="preserve"> De ETC is bedoeld voor retailbeleggers die verliezen kunnen dragen tot het bedrag dat in de ETC is belegd.</w:t>
      </w:r>
      <w:r>
        <w:rPr xmlns:w="http://schemas.openxmlformats.org/wordprocessingml/2006/main">
          <w:rFonts w:ascii="Arial" w:cs="Arial" w:eastAsia="Arial" w:hAnsi="Arial"/>
          <w:sz w:val="16"/>
          <w:szCs w:val="16"/>
          <w:color w:val="auto"/>
        </w:rPr>
        <w:t xml:space="preserve"> De ETC-effecten zijn geschikt voor investeringen op middellange tot lange termijn, hoewel de ETC-effecten ook geschikt kunnen zijn voor blootstelling op kortere termijn (zie verder onder "Hoe lang moet ik het aanhouden en kan ik vroeg geld opnemen?").</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Verzekeringsvoordelen:</w:t>
      </w:r>
      <w:r>
        <w:rPr xmlns:w="http://schemas.openxmlformats.org/wordprocessingml/2006/main">
          <w:rFonts w:ascii="Arial" w:cs="Arial" w:eastAsia="Arial" w:hAnsi="Arial"/>
          <w:sz w:val="16"/>
          <w:szCs w:val="16"/>
          <w:color w:val="auto"/>
        </w:rPr>
        <w:t xml:space="preserve"> De ETC biedt geen verzekeringsvoordelen.</w:t>
      </w:r>
    </w:p>
    <w:p>
      <w:pPr>
        <w:sectPr>
          <w:pgSz w:w="11900" w:h="16838" w:orient="portrait"/>
          <w:cols w:equalWidth="0" w:num="1">
            <w:col w:w="10720"/>
          </w:cols>
          <w:pgMar w:left="580" w:top="483" w:right="606" w:bottom="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5" w:lineRule="exact"/>
        <w:rPr>
          <w:sz w:val="24"/>
          <w:szCs w:val="24"/>
          <w:color w:val="auto"/>
        </w:rPr>
      </w:pPr>
    </w:p>
    <w:p>
      <w:pPr xmlns:w="http://schemas.openxmlformats.org/wordprocessingml/2006/main">
        <w:jc w:val="center"/>
        <w:ind w:right="-39"/>
        <w:spacing w:after="0"/>
        <w:rPr>
          <w:sz w:val="20"/>
          <w:szCs w:val="20"/>
          <w:color w:val="auto"/>
        </w:rPr>
      </w:pPr>
      <w:r>
        <w:rPr xmlns:w="http://schemas.openxmlformats.org/wordprocessingml/2006/main">
          <w:rFonts w:ascii="Arial" w:cs="Arial" w:eastAsia="Arial" w:hAnsi="Arial"/>
          <w:sz w:val="20"/>
          <w:szCs w:val="20"/>
          <w:color w:val="auto"/>
        </w:rPr>
        <w:t xml:space="preserve">1</w:t>
      </w:r>
    </w:p>
    <w:p>
      <w:pPr>
        <w:sectPr>
          <w:pgSz w:w="11900" w:h="16838" w:orient="portrait"/>
          <w:cols w:equalWidth="0" w:num="1">
            <w:col w:w="10720"/>
          </w:cols>
          <w:pgMar w:left="580" w:top="483" w:right="606" w:bottom="0" w:gutter="0" w:footer="0" w:header="0"/>
          <w:type w:val="continuous"/>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Wat zijn de risico’s en wat kan ik ervoor terugkrijgen?</w:t>
      </w:r>
    </w:p>
    <w:p>
      <w:pPr>
        <w:spacing w:after="0" w:line="2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risico-indicator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-16510</wp:posOffset>
            </wp:positionV>
            <wp:extent cx="6839585" cy="895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6839585" cy="89535"/>
                    </a:xfrm>
                    <a:prstGeom prst="rect">
                      <a:avLst/>
                    </a:prstGeom>
                    <a:noFill/>
                  </pic:spPr>
                </pic:pic>
              </a:graphicData>
            </a:graphic>
          </wp:anchor>
        </w:drawing>
      </w:r>
    </w:p>
    <w:p>
      <w:pPr>
        <w:spacing w:after="0" w:line="188" w:lineRule="exact"/>
        <w:rPr>
          <w:sz w:val="20"/>
          <w:szCs w:val="20"/>
          <w:color w:val="auto"/>
        </w:rPr>
      </w:pPr>
    </w:p>
    <w:p>
      <w:pPr xmlns:w="http://schemas.openxmlformats.org/wordprocessingml/2006/main">
        <w:spacing w:after="0"/>
        <w:tabs>
          <w:tab w:leader="none" w:pos="9980" w:val="left"/>
        </w:tabs>
        <w:rPr>
          <w:sz w:val="20"/>
          <w:szCs w:val="20"/>
          <w:color w:val="auto"/>
        </w:rPr>
      </w:pPr>
      <w:r>
        <w:rPr xmlns:w="http://schemas.openxmlformats.org/wordprocessingml/2006/main">
          <w:rFonts w:ascii="Arial" w:cs="Arial" w:eastAsia="Arial" w:hAnsi="Arial"/>
          <w:sz w:val="14"/>
          <w:szCs w:val="14"/>
          <w:b w:val="1"/>
          <w:bCs w:val="1"/>
          <w:color w:val="auto"/>
        </w:rPr>
        <w:t xml:space="preserve">Minder risico</w:t>
        <w:tab xmlns:w="http://schemas.openxmlformats.org/wordprocessingml/2006/main"/>
      </w:r>
      <w:r>
        <w:rPr xmlns:w="http://schemas.openxmlformats.org/wordprocessingml/2006/main">
          <w:rFonts w:ascii="Arial" w:cs="Arial" w:eastAsia="Arial" w:hAnsi="Arial"/>
          <w:sz w:val="14"/>
          <w:szCs w:val="14"/>
          <w:b w:val="1"/>
          <w:bCs w:val="1"/>
          <w:color w:val="auto"/>
        </w:rPr>
        <w:t xml:space="preserve">Hoger risico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46355</wp:posOffset>
            </wp:positionV>
            <wp:extent cx="6840220" cy="6515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6840220" cy="651510"/>
                    </a:xfrm>
                    <a:prstGeom prst="rect">
                      <a:avLst/>
                    </a:prstGeom>
                    <a:noFill/>
                  </pic:spPr>
                </pic:pic>
              </a:graphicData>
            </a:graphic>
          </wp:anchor>
        </w:drawing>
      </w:r>
    </w:p>
    <w:p>
      <w:pPr>
        <w:spacing w:after="0" w:line="200" w:lineRule="exact"/>
        <w:rPr>
          <w:sz w:val="20"/>
          <w:szCs w:val="20"/>
          <w:color w:val="auto"/>
        </w:rPr>
      </w:pPr>
    </w:p>
    <w:p>
      <w:pPr>
        <w:spacing w:after="0" w:line="354" w:lineRule="exact"/>
        <w:rPr>
          <w:sz w:val="20"/>
          <w:szCs w:val="20"/>
          <w:color w:val="auto"/>
        </w:rPr>
      </w:pPr>
    </w:p>
    <w:p>
      <w:pPr xmlns:w="http://schemas.openxmlformats.org/wordprocessingml/2006/main">
        <w:ind w:left="1400" w:right="40"/>
        <w:spacing w:after="0" w:line="275" w:lineRule="auto"/>
        <w:rPr>
          <w:sz w:val="20"/>
          <w:szCs w:val="20"/>
          <w:color w:val="auto"/>
        </w:rPr>
      </w:pPr>
      <w:r>
        <w:rPr xmlns:w="http://schemas.openxmlformats.org/wordprocessingml/2006/main">
          <w:rFonts w:ascii="Arial" w:cs="Arial" w:eastAsia="Arial" w:hAnsi="Arial"/>
          <w:sz w:val="16"/>
          <w:szCs w:val="16"/>
          <w:b w:val="1"/>
          <w:bCs w:val="1"/>
          <w:color w:val="auto"/>
        </w:rPr>
        <w:t xml:space="preserve">De risico-indicator gaat ervan uit dat u het product gedurende 5 jaar bewaart.</w:t>
      </w:r>
      <w:r>
        <w:rPr xmlns:w="http://schemas.openxmlformats.org/wordprocessingml/2006/main">
          <w:rFonts w:ascii="Arial" w:cs="Arial" w:eastAsia="Arial" w:hAnsi="Arial"/>
          <w:sz w:val="16"/>
          <w:szCs w:val="16"/>
          <w:b w:val="1"/>
          <w:bCs w:val="1"/>
          <w:color w:val="auto"/>
        </w:rPr>
        <w:t xml:space="preserve"> Het werkelijke risico kan aanzienlijk variëren als u in een vroeg stadium contant betaalt en u mogelijk minder terugkrijgt.</w:t>
      </w:r>
    </w:p>
    <w:p>
      <w:pPr>
        <w:spacing w:after="0" w:line="118" w:lineRule="exact"/>
        <w:rPr>
          <w:sz w:val="20"/>
          <w:szCs w:val="20"/>
          <w:color w:val="auto"/>
        </w:rPr>
      </w:pPr>
    </w:p>
    <w:p>
      <w:pPr xmlns:w="http://schemas.openxmlformats.org/wordprocessingml/2006/main">
        <w:jc w:val="both"/>
        <w:ind w:left="26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De samenvattende risico-indicator is een leidraad voor het risiconiveau van dit product in vergelijking met andere producten.</w:t>
      </w:r>
      <w:r>
        <w:rPr xmlns:w="http://schemas.openxmlformats.org/wordprocessingml/2006/main">
          <w:rFonts w:ascii="Arial" w:cs="Arial" w:eastAsia="Arial" w:hAnsi="Arial"/>
          <w:sz w:val="16"/>
          <w:szCs w:val="16"/>
          <w:color w:val="auto"/>
        </w:rPr>
        <w:t xml:space="preserve"> Het laat zien hoe waarschijnlijk het is dat het product geld zal verliezen door bewegingen in de markten of omdat we niet in staat zijn om u te betalen.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We hebben dit product geclassificeerd als 6 van de 7, wat de op een na hoogste risicoklasse is.</w:t>
      </w:r>
      <w:r>
        <w:rPr xmlns:w="http://schemas.openxmlformats.org/wordprocessingml/2006/main">
          <w:rFonts w:ascii="Arial" w:cs="Arial" w:eastAsia="Arial" w:hAnsi="Arial"/>
          <w:sz w:val="16"/>
          <w:szCs w:val="16"/>
          <w:color w:val="auto"/>
        </w:rPr>
        <w:t xml:space="preserve"> Deze classificatie beoordeelt de potentiële verliezen van toekomstige prestaties op een hoog niveau en slechte marktomstandigheden kunnen de waarde van uw investering beïnvloeden.</w:t>
      </w:r>
      <w:r>
        <w:rPr xmlns:w="http://schemas.openxmlformats.org/wordprocessingml/2006/main">
          <w:rFonts w:ascii="Arial" w:cs="Arial" w:eastAsia="Arial" w:hAnsi="Arial"/>
          <w:sz w:val="16"/>
          <w:szCs w:val="16"/>
          <w:color w:val="auto"/>
        </w:rPr>
        <w:t xml:space="preserve"> Deze classificatie is niet gegarandeerd en kan in de loop van de tijd veranderen en is mogelijk geen betrouwbare indicatie van het toekomstige risicoprofiel van deze ETC.</w:t>
      </w:r>
      <w:r>
        <w:rPr xmlns:w="http://schemas.openxmlformats.org/wordprocessingml/2006/main">
          <w:rFonts w:ascii="Arial" w:cs="Arial" w:eastAsia="Arial" w:hAnsi="Arial"/>
          <w:sz w:val="16"/>
          <w:szCs w:val="16"/>
          <w:color w:val="auto"/>
        </w:rPr>
        <w:t xml:space="preserve"> De laagste categorie betekent niet risicovrij.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-332740</wp:posOffset>
            </wp:positionV>
            <wp:extent cx="71755" cy="717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right="40"/>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Wees je bewust van het valutarisico.</w:t>
      </w:r>
      <w:r>
        <w:rPr xmlns:w="http://schemas.openxmlformats.org/wordprocessingml/2006/main">
          <w:rFonts w:ascii="Arial" w:cs="Arial" w:eastAsia="Arial" w:hAnsi="Arial"/>
          <w:sz w:val="16"/>
          <w:szCs w:val="16"/>
          <w:color w:val="auto"/>
        </w:rPr>
        <w:t xml:space="preserve"> Als u betalingen ontvangt in een valuta die verschilt van de basisvaluta van het product, is het uiteindelijke rendement dat u krijgt afhankelijk van de wisselkoers tussen de twee valuta's.</w:t>
      </w:r>
      <w:r>
        <w:rPr xmlns:w="http://schemas.openxmlformats.org/wordprocessingml/2006/main">
          <w:rFonts w:ascii="Arial" w:cs="Arial" w:eastAsia="Arial" w:hAnsi="Arial"/>
          <w:sz w:val="16"/>
          <w:szCs w:val="16"/>
          <w:color w:val="auto"/>
        </w:rPr>
        <w:t xml:space="preserve"> Dit risico wordt niet in aanmerking genomen in de hierboven weergegeven indicator.</w:t>
      </w:r>
      <w:r>
        <w:rPr xmlns:w="http://schemas.openxmlformats.org/wordprocessingml/2006/main">
          <w:rFonts w:ascii="Arial" w:cs="Arial" w:eastAsia="Arial" w:hAnsi="Arial"/>
          <w:sz w:val="16"/>
          <w:szCs w:val="16"/>
          <w:color w:val="auto"/>
        </w:rPr>
        <w:t xml:space="preserve"> Raadpleeg het Prospectus van het product voor meer informatie over andere, materieel relevante risico's die op dit product van toepassing kunnen zijn.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-332740</wp:posOffset>
            </wp:positionV>
            <wp:extent cx="71755" cy="717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71755" cy="71755"/>
                    </a:xfrm>
                    <a:prstGeom prst="rect">
                      <a:avLst/>
                    </a:prstGeom>
                    <a:noFill/>
                  </pic:spPr>
                </pic:pic>
              </a:graphicData>
            </a:graphic>
          </wp:anchor>
        </w:drawing>
        <w:drawing>
          <wp:anchor simplePos="0" relativeHeight="251657728" behindDoc="1" locked="0" layoutInCell="0" allowOverlap="1">
            <wp:simplePos x="0" y="0"/>
            <wp:positionH relativeFrom="column">
              <wp:posOffset>-7620</wp:posOffset>
            </wp:positionH>
            <wp:positionV relativeFrom="paragraph">
              <wp:posOffset>-89535</wp:posOffset>
            </wp:positionV>
            <wp:extent cx="71755" cy="717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Dit product bevat geen bescherming tegen toekomstige marktprestaties, zodat u een deel of al uw investering kunt verliezen.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Als het product niet in staat is om u te betalen wat verschuldigd is, kunt u uw volledige investering verliezen.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Informatie over beleggingsprestaties</w:t>
      </w:r>
    </w:p>
    <w:p>
      <w:pPr>
        <w:spacing w:after="0" w:line="14" w:lineRule="exact"/>
        <w:rPr>
          <w:sz w:val="20"/>
          <w:szCs w:val="20"/>
          <w:color w:val="auto"/>
        </w:rPr>
      </w:pPr>
    </w:p>
    <w:p>
      <w:pPr xmlns:w="http://schemas.openxmlformats.org/wordprocessingml/2006/main">
        <w:jc w:val="both"/>
        <w:ind w:left="26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De prijs van palladium is volatiel.</w:t>
      </w:r>
      <w:r>
        <w:rPr xmlns:w="http://schemas.openxmlformats.org/wordprocessingml/2006/main">
          <w:rFonts w:ascii="Arial" w:cs="Arial" w:eastAsia="Arial" w:hAnsi="Arial"/>
          <w:sz w:val="16"/>
          <w:szCs w:val="16"/>
          <w:color w:val="auto"/>
        </w:rPr>
        <w:t xml:space="preserve"> Bewegingen kunnen worden beïnvloed door verschillende factoren, waaronder vraag en aanbod, geopolitieke onzekerheden, economische zorgen zoals inflatie en reële of speculatieve beleggersbelangen.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De relevante benchmark is de London Platinum and Palladium Market (LPPM) palladiumprijs en de prestaties en volatiliteit zullen de benchmark volgen.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Wat kan mijn terugkeer positief beïnvloeden?</w:t>
      </w:r>
    </w:p>
    <w:p>
      <w:pPr>
        <w:spacing w:after="0" w:line="14" w:lineRule="exact"/>
        <w:rPr>
          <w:sz w:val="20"/>
          <w:szCs w:val="20"/>
          <w:color w:val="auto"/>
        </w:rPr>
      </w:pPr>
    </w:p>
    <w:p>
      <w:pPr xmlns:w="http://schemas.openxmlformats.org/wordprocessingml/2006/main">
        <w:jc w:val="both"/>
        <w:ind w:left="26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Gunstige voorwaarden voor palladium zouden een toename van de vraag ten opzichte van het aanbod omvatten.</w:t>
      </w:r>
      <w:r>
        <w:rPr xmlns:w="http://schemas.openxmlformats.org/wordprocessingml/2006/main">
          <w:rFonts w:ascii="Arial" w:cs="Arial" w:eastAsia="Arial" w:hAnsi="Arial"/>
          <w:sz w:val="16"/>
          <w:szCs w:val="16"/>
          <w:color w:val="auto"/>
        </w:rPr>
        <w:t xml:space="preserve"> Edelmetalen worden beschouwd als een opslag van waarde, dus elke politieke en economische onzekerheid, en deflatie of inflatievrees kan de accumulatie en hogere prijzen stimuleren.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Wat kan mijn terugkeer negatief beïnvloeden?</w:t>
      </w:r>
    </w:p>
    <w:p>
      <w:pPr>
        <w:spacing w:after="0" w:line="14" w:lineRule="exact"/>
        <w:rPr>
          <w:sz w:val="20"/>
          <w:szCs w:val="20"/>
          <w:color w:val="auto"/>
        </w:rPr>
      </w:pPr>
    </w:p>
    <w:p>
      <w:pPr xmlns:w="http://schemas.openxmlformats.org/wordprocessingml/2006/main">
        <w:jc w:val="both"/>
        <w:ind w:left="26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De ongunstige omstandigheden voor palladium zouden een toename van het aanbod ten opzichte van de vraag omvatten.</w:t>
      </w:r>
      <w:r>
        <w:rPr xmlns:w="http://schemas.openxmlformats.org/wordprocessingml/2006/main">
          <w:rFonts w:ascii="Arial" w:cs="Arial" w:eastAsia="Arial" w:hAnsi="Arial"/>
          <w:sz w:val="16"/>
          <w:szCs w:val="16"/>
          <w:color w:val="auto"/>
        </w:rPr>
        <w:t xml:space="preserve"> Edelmetalen worden beschouwd als een opslag van waarde, dus een vermindering van politieke en economische onzekerheid en deflatie of inflatievrees kan de accumulatie verminderen en de prijzen verlagen.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Onder ernstige marktomstandigheden wordt verwacht dat negatieve rendementen zullen worden ervaren in de meeste activaklassen en de belegger waarschijnlijk verliezen zal ervaren.</w:t>
      </w:r>
      <w:r>
        <w:rPr xmlns:w="http://schemas.openxmlformats.org/wordprocessingml/2006/main">
          <w:rFonts w:ascii="Arial" w:cs="Arial" w:eastAsia="Arial" w:hAnsi="Arial"/>
          <w:sz w:val="16"/>
          <w:szCs w:val="16"/>
          <w:color w:val="auto"/>
        </w:rPr>
        <w:t xml:space="preserve"> De belegger die onder dergelijke ongunstige omstandigheden inwisselt, kan een financieel verlies lijden als gevolg van negatieve prestaties, handelskosten en mogelijk gebrek aan liquiditeit.</w:t>
      </w:r>
      <w:r>
        <w:rPr xmlns:w="http://schemas.openxmlformats.org/wordprocessingml/2006/main">
          <w:rFonts w:ascii="Arial" w:cs="Arial" w:eastAsia="Arial" w:hAnsi="Arial"/>
          <w:sz w:val="16"/>
          <w:szCs w:val="16"/>
          <w:color w:val="auto"/>
        </w:rPr>
        <w:t xml:space="preserve"> Hoewel de prijs van edelmetalen op korte termijn volatiel kan zijn, heeft deze altijd zijn waarde op de lange termijn behouden.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-454025</wp:posOffset>
            </wp:positionV>
            <wp:extent cx="71755" cy="717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Wat gebeurt er als iShares Physical Metals plc niet kan uitbetalen?</w:t>
      </w:r>
    </w:p>
    <w:p>
      <w:pPr>
        <w:spacing w:after="0" w:line="22" w:lineRule="exact"/>
        <w:rPr>
          <w:sz w:val="20"/>
          <w:szCs w:val="20"/>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Het onderliggende edelmetaal van de ETC wordt in bewaring gehouden door de Bewaarder van de Vennootschap, JPMorgan Chase Bank N.A. London Branch en/of onderbewaarders (aangesteld door de Bewaarder).</w:t>
      </w:r>
      <w:r>
        <w:rPr xmlns:w="http://schemas.openxmlformats.org/wordprocessingml/2006/main">
          <w:rFonts w:ascii="Arial" w:cs="Arial" w:eastAsia="Arial" w:hAnsi="Arial"/>
          <w:sz w:val="16"/>
          <w:szCs w:val="16"/>
          <w:color w:val="auto"/>
        </w:rPr>
        <w:t xml:space="preserve"> In het geval van insolventie van de arrangeur of trustee, zal het onderliggende metaal van de ETC in de bewaring van de bewaarnemer en/of onderbewaarders niet worden beïnvloed.</w:t>
      </w:r>
      <w:r>
        <w:rPr xmlns:w="http://schemas.openxmlformats.org/wordprocessingml/2006/main">
          <w:rFonts w:ascii="Arial" w:cs="Arial" w:eastAsia="Arial" w:hAnsi="Arial"/>
          <w:sz w:val="16"/>
          <w:szCs w:val="16"/>
          <w:color w:val="auto"/>
        </w:rPr>
        <w:t xml:space="preserve"> In het geval van insolventie van de Bewaarder of een onderbewaarder, moet het toegewezen metaal dat door de Bewaarder of een onderbewaarder wordt aangehouden op een "Toegewezen Rekening" (dat is een gescheiden rekening waarin metaal in toegewezen vorm wordt aangehouden) ten behoeve van de Onderneming voor de ETC worden beschermd, aangezien dergelijk metaal afzonderlijk moet worden geïdentificeerd van de activa van de Bewaarder, elke onderbewaarder en hun andere cliënten.</w:t>
      </w:r>
      <w:r>
        <w:rPr xmlns:w="http://schemas.openxmlformats.org/wordprocessingml/2006/main">
          <w:rFonts w:ascii="Arial" w:cs="Arial" w:eastAsia="Arial" w:hAnsi="Arial"/>
          <w:sz w:val="16"/>
          <w:szCs w:val="16"/>
          <w:color w:val="auto"/>
        </w:rPr>
        <w:t xml:space="preserve"> Compensatie zal niet beschikbaar zijn in het kader van de Britse Financial Services Compensation Scheme of een andere regeling in het geval van insolventie van de Vennootschap, Bewaarder, onderbewaarders, Arranger en/of Trustee.</w:t>
      </w:r>
    </w:p>
    <w:p>
      <w:pPr>
        <w:sectPr>
          <w:pgSz w:w="11900" w:h="16838" w:orient="portrait"/>
          <w:cols w:equalWidth="0" w:num="1">
            <w:col w:w="10760"/>
          </w:cols>
          <w:pgMar w:left="58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20"/>
          <w:szCs w:val="20"/>
          <w:color w:val="auto"/>
        </w:rPr>
        <w:t xml:space="preserve">2</w:t>
      </w:r>
    </w:p>
    <w:p>
      <w:pPr>
        <w:sectPr>
          <w:pgSz w:w="11900" w:h="16838" w:orient="portrait"/>
          <w:cols w:equalWidth="0" w:num="1">
            <w:col w:w="10760"/>
          </w:cols>
          <w:pgMar w:left="580" w:top="582" w:right="566" w:bottom="0" w:gutter="0" w:footer="0" w:header="0"/>
          <w:type w:val="continuous"/>
        </w:sectPr>
      </w:pPr>
    </w:p>
    <w:bookmarkStart w:id="2" w:name="page3"/>
    <w:bookmarkEnd w:id="2"/>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Wat zijn de kosten?</w:t>
      </w:r>
    </w:p>
    <w:p>
      <w:pPr>
        <w:spacing w:after="0" w:line="28"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Presentatie van de kosten</w:t>
      </w:r>
    </w:p>
    <w:p>
      <w:pPr>
        <w:spacing w:after="0" w:line="1" w:lineRule="exact"/>
        <w:rPr>
          <w:sz w:val="20"/>
          <w:szCs w:val="20"/>
          <w:color w:val="auto"/>
        </w:rPr>
      </w:pPr>
    </w:p>
    <w:p>
      <w:pPr xmlns:w="http://schemas.openxmlformats.org/wordprocessingml/2006/main">
        <w:ind w:left="2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De Reduction in Yield (RIY) laat zien welke impact de totale kosten die u betaalt hebben op het beleggingsrendement dat u zou kunnen krijgen.</w:t>
      </w:r>
      <w:r>
        <w:rPr xmlns:w="http://schemas.openxmlformats.org/wordprocessingml/2006/main">
          <w:rFonts w:ascii="Arial" w:cs="Arial" w:eastAsia="Arial" w:hAnsi="Arial"/>
          <w:sz w:val="16"/>
          <w:szCs w:val="16"/>
          <w:color w:val="auto"/>
        </w:rPr>
        <w:t xml:space="preserve"> De totale kosten houden rekening met eenmalige, lopende en incidentele kosten.</w:t>
      </w:r>
    </w:p>
    <w:p>
      <w:pPr xmlns:w="http://schemas.openxmlformats.org/wordprocessingml/2006/main">
        <w:ind w:left="2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De hier vermelde bedragen zijn de cumulatieve kosten van het product zelf, voor een of meer verschillende bedrijfsperioden.</w:t>
      </w:r>
      <w:r>
        <w:rPr xmlns:w="http://schemas.openxmlformats.org/wordprocessingml/2006/main">
          <w:rFonts w:ascii="Arial" w:cs="Arial" w:eastAsia="Arial" w:hAnsi="Arial"/>
          <w:sz w:val="16"/>
          <w:szCs w:val="16"/>
          <w:color w:val="auto"/>
        </w:rPr>
        <w:t xml:space="preserve"> De cijfers gaan ervan uit dat je 10.000 euro investeert.</w:t>
      </w:r>
      <w:r>
        <w:rPr xmlns:w="http://schemas.openxmlformats.org/wordprocessingml/2006/main">
          <w:rFonts w:ascii="Arial" w:cs="Arial" w:eastAsia="Arial" w:hAnsi="Arial"/>
          <w:sz w:val="16"/>
          <w:szCs w:val="16"/>
          <w:color w:val="auto"/>
        </w:rPr>
        <w:t xml:space="preserve"> De cijfers zijn schattingen en kunnen in de toekomst veranderen.</w:t>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Kosten in de tijd</w:t>
      </w:r>
    </w:p>
    <w:p>
      <w:pPr>
        <w:spacing w:after="0" w:line="14" w:lineRule="exact"/>
        <w:rPr>
          <w:sz w:val="20"/>
          <w:szCs w:val="20"/>
          <w:color w:val="auto"/>
        </w:rPr>
      </w:pPr>
    </w:p>
    <w:p>
      <w:pPr xmlns:w="http://schemas.openxmlformats.org/wordprocessingml/2006/main">
        <w:ind w:left="2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De persoon die u verkoopt of u adviseert over dit product, kan u andere kosten in rekening brengen.</w:t>
      </w:r>
      <w:r>
        <w:rPr xmlns:w="http://schemas.openxmlformats.org/wordprocessingml/2006/main">
          <w:rFonts w:ascii="Arial" w:cs="Arial" w:eastAsia="Arial" w:hAnsi="Arial"/>
          <w:sz w:val="16"/>
          <w:szCs w:val="16"/>
          <w:color w:val="auto"/>
        </w:rPr>
        <w:t xml:space="preserve"> Als dat zo is, zal deze persoon u voorzien van informatie over deze kosten en u laten zien welke impact alle kosten in de loop van de tijd op uw investering zullen hebben.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-13335</wp:posOffset>
            </wp:positionV>
            <wp:extent cx="6840220" cy="37465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6840220" cy="374650"/>
                    </a:xfrm>
                    <a:prstGeom prst="rect">
                      <a:avLst/>
                    </a:prstGeom>
                    <a:noFill/>
                  </pic:spPr>
                </pic:pic>
              </a:graphicData>
            </a:graphic>
          </wp:anchor>
        </w:drawing>
      </w:r>
    </w:p>
    <w:p>
      <w:pPr xmlns:w="http://schemas.openxmlformats.org/wordprocessingml/2006/main">
        <w:ind w:left="40"/>
        <w:spacing w:after="0" w:line="221" w:lineRule="auto"/>
        <w:rPr>
          <w:sz w:val="20"/>
          <w:szCs w:val="20"/>
          <w:color w:val="auto"/>
        </w:rPr>
      </w:pPr>
      <w:r>
        <w:rPr xmlns:w="http://schemas.openxmlformats.org/wordprocessingml/2006/main">
          <w:rFonts w:ascii="Arial" w:cs="Arial" w:eastAsia="Arial" w:hAnsi="Arial"/>
          <w:sz w:val="16"/>
          <w:szCs w:val="16"/>
          <w:b w:val="1"/>
          <w:bCs w:val="1"/>
          <w:color w:val="FFFFFF"/>
        </w:rPr>
        <w:t xml:space="preserve">Investering USD 10.000</w:t>
      </w:r>
    </w:p>
    <w:tbl>
      <w:tblPr>
        <w:tblLayout w:type="fixed"/>
        <w:tblInd w:w="0" w:type="dxa"/>
        <w:tblCellMar>
          <w:top w:w="0" w:type="dxa"/>
          <w:left w:w="0" w:type="dxa"/>
          <w:bottom w:w="0" w:type="dxa"/>
          <w:right w:w="0" w:type="dxa"/>
        </w:tblCellMar>
      </w:tblPr>
      <w:tr>
        <w:trPr>
          <w:trHeight w:val="203"/>
        </w:trPr>
        <w:tc>
          <w:tcPr>
            <w:tcW w:w="5940" w:type="dxa"/>
            <w:vAlign w:val="bottom"/>
            <w:tcBorders>
              <w:top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Scenario's</w:t>
            </w:r>
          </w:p>
        </w:tc>
        <w:tc>
          <w:tcPr>
            <w:tcW w:w="1560" w:type="dxa"/>
            <w:vAlign w:val="bottom"/>
            <w:tcBorders>
              <w:top w:val="single" w:sz="8" w:color="auto"/>
            </w:tcBorders>
            <w:shd w:val="clear" w:color="auto" w:fill="000000"/>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Als u na het</w:t>
            </w:r>
          </w:p>
        </w:tc>
        <w:tc>
          <w:tcPr>
            <w:tcW w:w="1620" w:type="dxa"/>
            <w:vAlign w:val="bottom"/>
            <w:tcBorders>
              <w:top w:val="single" w:sz="8" w:color="auto"/>
            </w:tcBorders>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Als u na het</w:t>
            </w:r>
          </w:p>
        </w:tc>
        <w:tc>
          <w:tcPr>
            <w:tcW w:w="1680" w:type="dxa"/>
            <w:vAlign w:val="bottom"/>
            <w:tcBorders>
              <w:top w:val="single" w:sz="8" w:color="auto"/>
            </w:tcBorders>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Als u na het</w:t>
            </w:r>
          </w:p>
        </w:tc>
      </w:tr>
      <w:tr>
        <w:trPr>
          <w:trHeight w:val="176"/>
        </w:trPr>
        <w:tc>
          <w:tcPr>
            <w:tcW w:w="5940" w:type="dxa"/>
            <w:vAlign w:val="bottom"/>
            <w:tcBorders>
              <w:bottom w:val="single" w:sz="8" w:color="auto"/>
            </w:tcBorders>
          </w:tcPr>
          <w:p>
            <w:pPr>
              <w:spacing w:after="0"/>
              <w:rPr>
                <w:sz w:val="15"/>
                <w:szCs w:val="15"/>
                <w:color w:val="auto"/>
              </w:rPr>
            </w:pPr>
          </w:p>
        </w:tc>
        <w:tc>
          <w:tcPr>
            <w:tcW w:w="1560" w:type="dxa"/>
            <w:vAlign w:val="bottom"/>
            <w:tcBorders>
              <w:bottom w:val="single" w:sz="8" w:color="auto"/>
            </w:tcBorders>
            <w:shd w:val="clear" w:color="auto" w:fill="000000"/>
          </w:tcPr>
          <w:p>
            <w:pPr xmlns:w="http://schemas.openxmlformats.org/wordprocessingml/2006/main">
              <w:ind w:left="2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1 jaar</w:t>
            </w:r>
          </w:p>
        </w:tc>
        <w:tc>
          <w:tcPr>
            <w:tcW w:w="1620" w:type="dxa"/>
            <w:vAlign w:val="bottom"/>
            <w:tcBorders>
              <w:bottom w:val="single" w:sz="8" w:color="auto"/>
            </w:tcBorders>
            <w:shd w:val="clear" w:color="auto" w:fill="000000"/>
          </w:tcPr>
          <w:p>
            <w:pPr xmlns:w="http://schemas.openxmlformats.org/wordprocessingml/2006/main">
              <w:ind w:left="8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3 jaar</w:t>
            </w:r>
          </w:p>
        </w:tc>
        <w:tc>
          <w:tcPr>
            <w:tcW w:w="1680" w:type="dxa"/>
            <w:vAlign w:val="bottom"/>
            <w:tcBorders>
              <w:bottom w:val="single" w:sz="8" w:color="auto"/>
            </w:tcBorders>
            <w:shd w:val="clear" w:color="auto" w:fill="000000"/>
          </w:tcPr>
          <w:p>
            <w:pPr xmlns:w="http://schemas.openxmlformats.org/wordprocessingml/2006/main">
              <w:ind w:left="8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5 jaar</w:t>
            </w:r>
          </w:p>
        </w:tc>
      </w:tr>
      <w:tr>
        <w:trPr>
          <w:trHeight w:val="187"/>
        </w:trPr>
        <w:tc>
          <w:tcPr>
            <w:tcW w:w="594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Totale kosten</w:t>
            </w:r>
          </w:p>
        </w:tc>
        <w:tc>
          <w:tcPr>
            <w:tcW w:w="1560" w:type="dxa"/>
            <w:vAlign w:val="bottom"/>
            <w:tcBorders>
              <w:bottom w:val="single" w:sz="8" w:color="auto"/>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24 USD</w:t>
            </w:r>
          </w:p>
        </w:tc>
        <w:tc>
          <w:tcPr>
            <w:tcW w:w="162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91 USD</w:t>
            </w:r>
          </w:p>
        </w:tc>
        <w:tc>
          <w:tcPr>
            <w:tcW w:w="16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213 USD</w:t>
            </w:r>
          </w:p>
        </w:tc>
      </w:tr>
      <w:tr>
        <w:trPr>
          <w:trHeight w:val="177"/>
        </w:trPr>
        <w:tc>
          <w:tcPr>
            <w:tcW w:w="594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Impact op rendement (RIY) per jaar</w:t>
            </w:r>
          </w:p>
        </w:tc>
        <w:tc>
          <w:tcPr>
            <w:tcW w:w="1560" w:type="dxa"/>
            <w:vAlign w:val="bottom"/>
            <w:tcBorders>
              <w:bottom w:val="single" w:sz="8" w:color="auto"/>
            </w:tcBorders>
          </w:tcPr>
          <w:p>
            <w:pPr xmlns:w="http://schemas.openxmlformats.org/wordprocessingml/2006/main">
              <w:ind w:left="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0,24%</w:t>
            </w:r>
          </w:p>
        </w:tc>
        <w:tc>
          <w:tcPr>
            <w:tcW w:w="1620" w:type="dxa"/>
            <w:vAlign w:val="bottom"/>
            <w:tcBorders>
              <w:bottom w:val="single" w:sz="8" w:color="auto"/>
            </w:tcBorders>
          </w:tcPr>
          <w:p>
            <w:pPr xmlns:w="http://schemas.openxmlformats.org/wordprocessingml/2006/main">
              <w:ind w:left="8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0,23%</w:t>
            </w:r>
          </w:p>
        </w:tc>
        <w:tc>
          <w:tcPr>
            <w:tcW w:w="1680" w:type="dxa"/>
            <w:vAlign w:val="bottom"/>
            <w:tcBorders>
              <w:bottom w:val="single" w:sz="8" w:color="auto"/>
            </w:tcBorders>
          </w:tcPr>
          <w:p>
            <w:pPr xmlns:w="http://schemas.openxmlformats.org/wordprocessingml/2006/main">
              <w:ind w:left="8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0,23%</w:t>
            </w:r>
          </w:p>
        </w:tc>
      </w:tr>
      <w:tr>
        <w:trPr>
          <w:trHeight w:val="240"/>
        </w:trPr>
        <w:tc>
          <w:tcPr>
            <w:tcW w:w="594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Samenstelling van de kosten</w:t>
            </w:r>
          </w:p>
        </w:tc>
        <w:tc>
          <w:tcPr>
            <w:tcW w:w="1560" w:type="dxa"/>
            <w:vAlign w:val="bottom"/>
          </w:tcPr>
          <w:p>
            <w:pPr>
              <w:spacing w:after="0"/>
              <w:rPr>
                <w:sz w:val="20"/>
                <w:szCs w:val="20"/>
                <w:color w:val="auto"/>
              </w:rPr>
            </w:pPr>
          </w:p>
        </w:tc>
        <w:tc>
          <w:tcPr>
            <w:tcW w:w="1620" w:type="dxa"/>
            <w:vAlign w:val="bottom"/>
          </w:tcPr>
          <w:p>
            <w:pPr>
              <w:spacing w:after="0"/>
              <w:rPr>
                <w:sz w:val="20"/>
                <w:szCs w:val="20"/>
                <w:color w:val="auto"/>
              </w:rPr>
            </w:pPr>
          </w:p>
        </w:tc>
        <w:tc>
          <w:tcPr>
            <w:tcW w:w="1680" w:type="dxa"/>
            <w:vAlign w:val="bottom"/>
          </w:tcPr>
          <w:p>
            <w:pPr>
              <w:spacing w:after="0"/>
              <w:rPr>
                <w:sz w:val="20"/>
                <w:szCs w:val="20"/>
                <w:color w:val="auto"/>
              </w:rPr>
            </w:pPr>
          </w:p>
        </w:tc>
      </w:tr>
      <w:tr>
        <w:trPr>
          <w:trHeight w:val="246"/>
        </w:trPr>
        <w:tc>
          <w:tcPr>
            <w:tcW w:w="594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Onderstaande tabel toont:</w:t>
            </w:r>
          </w:p>
        </w:tc>
        <w:tc>
          <w:tcPr>
            <w:tcW w:w="1560" w:type="dxa"/>
            <w:vAlign w:val="bottom"/>
          </w:tcPr>
          <w:p>
            <w:pPr>
              <w:spacing w:after="0"/>
              <w:rPr>
                <w:sz w:val="21"/>
                <w:szCs w:val="21"/>
                <w:color w:val="auto"/>
              </w:rPr>
            </w:pPr>
          </w:p>
        </w:tc>
        <w:tc>
          <w:tcPr>
            <w:tcW w:w="1620" w:type="dxa"/>
            <w:vAlign w:val="bottom"/>
          </w:tcPr>
          <w:p>
            <w:pPr>
              <w:spacing w:after="0"/>
              <w:rPr>
                <w:sz w:val="21"/>
                <w:szCs w:val="21"/>
                <w:color w:val="auto"/>
              </w:rPr>
            </w:pPr>
          </w:p>
        </w:tc>
        <w:tc>
          <w:tcPr>
            <w:tcW w:w="1680" w:type="dxa"/>
            <w:vAlign w:val="bottom"/>
          </w:tcPr>
          <w:p>
            <w:pPr>
              <w:spacing w:after="0"/>
              <w:rPr>
                <w:sz w:val="21"/>
                <w:szCs w:val="21"/>
                <w:color w:val="auto"/>
              </w:rPr>
            </w:pPr>
          </w:p>
        </w:tc>
      </w:tr>
    </w:tbl>
    <w:p>
      <w:pPr>
        <w:spacing w:after="0" w:line="56" w:lineRule="exact"/>
        <w:rPr>
          <w:sz w:val="20"/>
          <w:szCs w:val="20"/>
          <w:color w:val="auto"/>
        </w:rPr>
      </w:pPr>
    </w:p>
    <w:p>
      <w:pPr xmlns:w="http://schemas.openxmlformats.org/wordprocessingml/2006/main">
        <w:ind w:left="580" w:right="60" w:hanging="268"/>
        <w:spacing w:after="0" w:line="252" w:lineRule="auto"/>
        <w:tabs>
          <w:tab w:leader="none" w:pos="58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de impact per jaar van de verschillende soorten kosten op het beleggingsrendement dat u zou kunnen krijgen aan het einde van de aanbevolen aanhoudingsperiode.</w:t>
      </w:r>
    </w:p>
    <w:p>
      <w:pPr>
        <w:spacing w:after="0" w:line="194" w:lineRule="exact"/>
        <w:rPr>
          <w:rFonts w:ascii="Arial" w:cs="Arial" w:eastAsia="Arial" w:hAnsi="Arial"/>
          <w:sz w:val="16"/>
          <w:szCs w:val="16"/>
          <w:color w:val="auto"/>
        </w:rPr>
      </w:pPr>
    </w:p>
    <w:p>
      <w:pPr xmlns:w="http://schemas.openxmlformats.org/wordprocessingml/2006/main">
        <w:ind w:left="580" w:hanging="268"/>
        <w:spacing w:after="0"/>
        <w:tabs>
          <w:tab w:leader="none" w:pos="58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de betekenis van de verschillende kostencategorieën.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29210</wp:posOffset>
            </wp:positionV>
            <wp:extent cx="6802120" cy="1695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802120" cy="169545"/>
                    </a:xfrm>
                    <a:prstGeom prst="rect">
                      <a:avLst/>
                    </a:prstGeom>
                    <a:noFill/>
                  </pic:spPr>
                </pic:pic>
              </a:graphicData>
            </a:graphic>
          </wp:anchor>
        </w:drawing>
      </w:r>
    </w:p>
    <w:p>
      <w:pPr>
        <w:spacing w:after="0" w:line="72" w:lineRule="exact"/>
        <w:rPr>
          <w:sz w:val="20"/>
          <w:szCs w:val="20"/>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Deze tabel toont de impact op het rendement per jaar</w:t>
      </w:r>
    </w:p>
    <w:p>
      <w:pPr>
        <w:spacing w:after="0" w:line="83" w:lineRule="exact"/>
        <w:rPr>
          <w:sz w:val="20"/>
          <w:szCs w:val="20"/>
          <w:color w:val="auto"/>
        </w:rPr>
      </w:pPr>
    </w:p>
    <w:tbl>
      <w:tblPr>
        <w:tblLayout w:type="fixed"/>
        <w:tblInd w:w="40" w:type="dxa"/>
        <w:tblCellMar>
          <w:top w:w="0" w:type="dxa"/>
          <w:left w:w="0" w:type="dxa"/>
          <w:bottom w:w="0" w:type="dxa"/>
          <w:right w:w="0" w:type="dxa"/>
        </w:tblCellMar>
      </w:tblPr>
      <w:tr>
        <w:trPr>
          <w:trHeight w:val="205"/>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Eenmalige kosten</w:t>
            </w: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Toegangskosten</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Wij rekenen geen toegangsprijs.*</w:t>
            </w:r>
          </w:p>
        </w:tc>
      </w:tr>
      <w:tr>
        <w:trPr>
          <w:trHeight w:val="244"/>
        </w:trPr>
        <w:tc>
          <w:tcPr>
            <w:tcW w:w="1600" w:type="dxa"/>
            <w:vAlign w:val="bottom"/>
            <w:tcBorders>
              <w:bottom w:val="single" w:sz="8" w:color="auto"/>
            </w:tcBorders>
          </w:tcPr>
          <w:p>
            <w:pPr>
              <w:spacing w:after="0"/>
              <w:rPr>
                <w:sz w:val="21"/>
                <w:szCs w:val="21"/>
                <w:color w:val="auto"/>
              </w:rPr>
            </w:pP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Exitkosten</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Wij brengen geen exitkosten in rekening.*</w:t>
            </w:r>
          </w:p>
        </w:tc>
      </w:tr>
      <w:tr>
        <w:trPr>
          <w:trHeight w:val="236"/>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Lopende kosten</w:t>
            </w:r>
          </w:p>
        </w:tc>
        <w:tc>
          <w:tcPr>
            <w:tcW w:w="21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Transactiekosten van portefeuille</w:t>
            </w:r>
          </w:p>
        </w:tc>
        <w:tc>
          <w:tcPr>
            <w:tcW w:w="88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0,00 %</w:t>
            </w: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De impact van de kosten van ons kopen en verkopen van onderliggende beleggingen voor</w:t>
            </w:r>
          </w:p>
        </w:tc>
      </w:tr>
      <w:tr>
        <w:trPr>
          <w:trHeight w:val="202"/>
        </w:trPr>
        <w:tc>
          <w:tcPr>
            <w:tcW w:w="1600" w:type="dxa"/>
            <w:vAlign w:val="bottom"/>
          </w:tcPr>
          <w:p>
            <w:pPr>
              <w:spacing w:after="0"/>
              <w:rPr>
                <w:sz w:val="17"/>
                <w:szCs w:val="17"/>
                <w:color w:val="auto"/>
              </w:rPr>
            </w:pPr>
          </w:p>
        </w:tc>
        <w:tc>
          <w:tcPr>
            <w:tcW w:w="2100" w:type="dxa"/>
            <w:vAlign w:val="bottom"/>
            <w:tcBorders>
              <w:bottom w:val="single" w:sz="8" w:color="auto"/>
            </w:tcBorders>
          </w:tcPr>
          <w:p>
            <w:pPr>
              <w:spacing w:after="0"/>
              <w:rPr>
                <w:sz w:val="17"/>
                <w:szCs w:val="17"/>
                <w:color w:val="auto"/>
              </w:rPr>
            </w:pPr>
          </w:p>
        </w:tc>
        <w:tc>
          <w:tcPr>
            <w:tcW w:w="880" w:type="dxa"/>
            <w:vAlign w:val="bottom"/>
            <w:tcBorders>
              <w:bottom w:val="single" w:sz="8" w:color="auto"/>
            </w:tcBorders>
          </w:tcPr>
          <w:p>
            <w:pPr>
              <w:spacing w:after="0"/>
              <w:rPr>
                <w:sz w:val="17"/>
                <w:szCs w:val="17"/>
                <w:color w:val="auto"/>
              </w:rPr>
            </w:pP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het product.</w:t>
            </w:r>
            <w:r>
              <w:rPr xmlns:w="http://schemas.openxmlformats.org/wordprocessingml/2006/main">
                <w:rFonts w:ascii="Arial" w:cs="Arial" w:eastAsia="Arial" w:hAnsi="Arial"/>
                <w:sz w:val="16"/>
                <w:szCs w:val="16"/>
                <w:color w:val="auto"/>
              </w:rPr>
              <w:t xml:space="preserve"> In de kosten wordt geen rekening gehouden met enig voordeel tegen verdunning.</w:t>
            </w:r>
          </w:p>
        </w:tc>
      </w:tr>
      <w:tr>
        <w:trPr>
          <w:trHeight w:val="238"/>
        </w:trPr>
        <w:tc>
          <w:tcPr>
            <w:tcW w:w="1600" w:type="dxa"/>
            <w:vAlign w:val="bottom"/>
          </w:tcPr>
          <w:p>
            <w:pPr>
              <w:spacing w:after="0"/>
              <w:rPr>
                <w:sz w:val="20"/>
                <w:szCs w:val="20"/>
                <w:color w:val="auto"/>
              </w:rPr>
            </w:pPr>
          </w:p>
        </w:tc>
        <w:tc>
          <w:tcPr>
            <w:tcW w:w="21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Overige lopende kosten</w:t>
            </w:r>
          </w:p>
        </w:tc>
        <w:tc>
          <w:tcPr>
            <w:tcW w:w="88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0,23%</w:t>
            </w: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De impact van de kosten die wij jaarlijks maken voor het beheer van uw</w:t>
            </w:r>
          </w:p>
        </w:tc>
      </w:tr>
      <w:tr>
        <w:trPr>
          <w:trHeight w:val="190"/>
        </w:trPr>
        <w:tc>
          <w:tcPr>
            <w:tcW w:w="1600" w:type="dxa"/>
            <w:vAlign w:val="bottom"/>
          </w:tcPr>
          <w:p>
            <w:pPr>
              <w:spacing w:after="0"/>
              <w:rPr>
                <w:sz w:val="16"/>
                <w:szCs w:val="16"/>
                <w:color w:val="auto"/>
              </w:rPr>
            </w:pPr>
          </w:p>
        </w:tc>
        <w:tc>
          <w:tcPr>
            <w:tcW w:w="2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investeringen.</w:t>
            </w:r>
            <w:r>
              <w:rPr xmlns:w="http://schemas.openxmlformats.org/wordprocessingml/2006/main">
                <w:rFonts w:ascii="Arial" w:cs="Arial" w:eastAsia="Arial" w:hAnsi="Arial"/>
                <w:sz w:val="16"/>
                <w:szCs w:val="16"/>
                <w:color w:val="auto"/>
              </w:rPr>
              <w:t xml:space="preserve"> Alle onderliggende productkosten zijn hier inbegrepen bij de</w:t>
            </w:r>
          </w:p>
        </w:tc>
      </w:tr>
      <w:tr>
        <w:trPr>
          <w:trHeight w:val="194"/>
        </w:trPr>
        <w:tc>
          <w:tcPr>
            <w:tcW w:w="1600" w:type="dxa"/>
            <w:vAlign w:val="bottom"/>
          </w:tcPr>
          <w:p>
            <w:pPr>
              <w:spacing w:after="0"/>
              <w:rPr>
                <w:sz w:val="16"/>
                <w:szCs w:val="16"/>
                <w:color w:val="auto"/>
              </w:rPr>
            </w:pPr>
          </w:p>
        </w:tc>
        <w:tc>
          <w:tcPr>
            <w:tcW w:w="2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Uitzondering op transactiekosten die hierboven onder zouden worden opgenomen</w:t>
            </w:r>
          </w:p>
        </w:tc>
      </w:tr>
      <w:tr>
        <w:trPr>
          <w:trHeight w:val="200"/>
        </w:trPr>
        <w:tc>
          <w:tcPr>
            <w:tcW w:w="1600" w:type="dxa"/>
            <w:vAlign w:val="bottom"/>
            <w:tcBorders>
              <w:bottom w:val="single" w:sz="8" w:color="auto"/>
            </w:tcBorders>
          </w:tcPr>
          <w:p>
            <w:pPr>
              <w:spacing w:after="0"/>
              <w:rPr>
                <w:sz w:val="17"/>
                <w:szCs w:val="17"/>
                <w:color w:val="auto"/>
              </w:rPr>
            </w:pPr>
          </w:p>
        </w:tc>
        <w:tc>
          <w:tcPr>
            <w:tcW w:w="2100" w:type="dxa"/>
            <w:vAlign w:val="bottom"/>
            <w:tcBorders>
              <w:bottom w:val="single" w:sz="8" w:color="auto"/>
            </w:tcBorders>
          </w:tcPr>
          <w:p>
            <w:pPr>
              <w:spacing w:after="0"/>
              <w:rPr>
                <w:sz w:val="17"/>
                <w:szCs w:val="17"/>
                <w:color w:val="auto"/>
              </w:rPr>
            </w:pPr>
          </w:p>
        </w:tc>
        <w:tc>
          <w:tcPr>
            <w:tcW w:w="880" w:type="dxa"/>
            <w:vAlign w:val="bottom"/>
            <w:tcBorders>
              <w:bottom w:val="single" w:sz="8" w:color="auto"/>
            </w:tcBorders>
          </w:tcPr>
          <w:p>
            <w:pPr>
              <w:spacing w:after="0"/>
              <w:rPr>
                <w:sz w:val="17"/>
                <w:szCs w:val="17"/>
                <w:color w:val="auto"/>
              </w:rPr>
            </w:pP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"Transactiekosten van portefeuilles".**</w:t>
            </w:r>
          </w:p>
        </w:tc>
      </w:tr>
      <w:tr>
        <w:trPr>
          <w:trHeight w:val="250"/>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Incidentele kosten</w:t>
            </w: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Prestatievergoedingen</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Er zijn geen prestatiekosten voor dit product.</w:t>
            </w:r>
          </w:p>
        </w:tc>
      </w:tr>
      <w:tr>
        <w:trPr>
          <w:trHeight w:val="244"/>
        </w:trPr>
        <w:tc>
          <w:tcPr>
            <w:tcW w:w="1600" w:type="dxa"/>
            <w:vAlign w:val="bottom"/>
            <w:tcBorders>
              <w:bottom w:val="single" w:sz="8" w:color="auto"/>
            </w:tcBorders>
          </w:tcPr>
          <w:p>
            <w:pPr>
              <w:spacing w:after="0"/>
              <w:rPr>
                <w:sz w:val="21"/>
                <w:szCs w:val="21"/>
                <w:color w:val="auto"/>
              </w:rPr>
            </w:pP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Vervoerde belangen</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Voor dit product zijn er geen doorgevoerde belangen.</w:t>
            </w:r>
          </w:p>
        </w:tc>
      </w:tr>
    </w:tbl>
    <w:p>
      <w:pPr>
        <w:spacing w:after="0" w:line="108" w:lineRule="exact"/>
        <w:rPr>
          <w:sz w:val="20"/>
          <w:szCs w:val="20"/>
          <w:color w:val="auto"/>
        </w:rPr>
      </w:pPr>
    </w:p>
    <w:p>
      <w:pPr xmlns:w="http://schemas.openxmlformats.org/wordprocessingml/2006/main">
        <w:jc w:val="both"/>
        <w:ind w:left="780" w:right="100" w:hanging="708"/>
        <w:spacing w:after="0" w:line="257" w:lineRule="auto"/>
        <w:tabs>
          <w:tab w:leader="none" w:pos="780" w:val="left"/>
        </w:tabs>
        <w:numPr>
          <w:ilvl w:val="0"/>
          <w:numId w:val="2"/>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Niet van toepassing op beleggers in de secundaire markt.</w:t>
      </w:r>
      <w:r>
        <w:rPr xmlns:w="http://schemas.openxmlformats.org/wordprocessingml/2006/main">
          <w:rFonts w:ascii="Arial" w:cs="Arial" w:eastAsia="Arial" w:hAnsi="Arial"/>
          <w:sz w:val="16"/>
          <w:szCs w:val="16"/>
          <w:color w:val="auto"/>
        </w:rPr>
        <w:t xml:space="preserve"> Beleggers die via effectenbeurzen handelen, betalen vergoedingen die door effectenmakelaars in rekening worden gebracht.</w:t>
      </w:r>
      <w:r>
        <w:rPr xmlns:w="http://schemas.openxmlformats.org/wordprocessingml/2006/main">
          <w:rFonts w:ascii="Arial" w:cs="Arial" w:eastAsia="Arial" w:hAnsi="Arial"/>
          <w:sz w:val="16"/>
          <w:szCs w:val="16"/>
          <w:color w:val="auto"/>
        </w:rPr>
        <w:t xml:space="preserve"> Dergelijke kosten kunnen worden verkregen op beurzen waar de aandelen worden genoteerd en verhandeld, of van effectenmakelaars.</w:t>
      </w:r>
      <w:r>
        <w:rPr xmlns:w="http://schemas.openxmlformats.org/wordprocessingml/2006/main">
          <w:rFonts w:ascii="Arial" w:cs="Arial" w:eastAsia="Arial" w:hAnsi="Arial"/>
          <w:sz w:val="16"/>
          <w:szCs w:val="16"/>
          <w:color w:val="auto"/>
        </w:rPr>
        <w:t xml:space="preserve"> Geautoriseerde deelnemers die rechtstreeks met het bedrijf te maken hebben, zullen de bijbehorende transactiekosten betalen.</w:t>
      </w:r>
    </w:p>
    <w:p>
      <w:pPr>
        <w:spacing w:after="0" w:line="43" w:lineRule="exact"/>
        <w:rPr>
          <w:rFonts w:ascii="Arial" w:cs="Arial" w:eastAsia="Arial" w:hAnsi="Arial"/>
          <w:sz w:val="16"/>
          <w:szCs w:val="16"/>
          <w:color w:val="auto"/>
        </w:rPr>
      </w:pPr>
    </w:p>
    <w:p>
      <w:pPr xmlns:w="http://schemas.openxmlformats.org/wordprocessingml/2006/main">
        <w:ind w:left="780" w:hanging="708"/>
        <w:spacing w:after="0"/>
        <w:tabs>
          <w:tab w:leader="none" w:pos="780" w:val="left"/>
        </w:tabs>
        <w:numPr>
          <w:ilvl w:val="0"/>
          <w:numId w:val="3"/>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Dit cijfer is gebaseerd op geschatte kosten, vaak verwijzend naar historische gegevens, en daarom kunnen de werkelijke kosten die door een belegger worden betaald verschillen.</w:t>
      </w:r>
    </w:p>
    <w:p>
      <w:pPr>
        <w:spacing w:after="0" w:line="105"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Hoe lang moet ik het vasthouden en kan ik vroeg geld afhalen?</w:t>
      </w:r>
      <w:r>
        <w:rPr xmlns:w="http://schemas.openxmlformats.org/wordprocessingml/2006/main">
          <w:rFonts w:ascii="Arial" w:cs="Arial" w:eastAsia="Arial" w:hAnsi="Arial"/>
          <w:sz w:val="18"/>
          <w:szCs w:val="18"/>
          <w:b w:val="1"/>
          <w:bCs w:val="1"/>
          <w:color w:val="auto"/>
          <w:shd w:val="clear" w:color="auto" w:fill="72CA33"/>
        </w:rPr>
        <w:t xml:space="preserve"> Aanbevolen bedrijfsperiode: 5 jaar</w:t>
      </w:r>
    </w:p>
    <w:p>
      <w:pPr>
        <w:spacing w:after="0" w:line="28" w:lineRule="exact"/>
        <w:rPr>
          <w:sz w:val="20"/>
          <w:szCs w:val="20"/>
          <w:color w:val="auto"/>
        </w:rPr>
      </w:pPr>
    </w:p>
    <w:p>
      <w:pPr xmlns:w="http://schemas.openxmlformats.org/wordprocessingml/2006/main">
        <w:jc w:val="both"/>
        <w:ind w:left="20" w:right="40"/>
        <w:spacing w:after="0" w:line="247" w:lineRule="auto"/>
        <w:rPr>
          <w:sz w:val="20"/>
          <w:szCs w:val="20"/>
          <w:color w:val="auto"/>
        </w:rPr>
      </w:pPr>
      <w:r>
        <w:rPr xmlns:w="http://schemas.openxmlformats.org/wordprocessingml/2006/main">
          <w:rFonts w:ascii="Arial" w:cs="Arial" w:eastAsia="Arial" w:hAnsi="Arial"/>
          <w:sz w:val="16"/>
          <w:szCs w:val="16"/>
          <w:color w:val="auto"/>
        </w:rPr>
        <w:t xml:space="preserve">De aanbevolen aanhoudingsperiode (RHP) is berekend in overeenstemming met de investeringsstrategie van de ETC en het tijdsbestek waarbinnen het naar verwachting mogelijk zal zijn de investeringsdoelstelling van de ETC te verwezenlijken.</w:t>
      </w:r>
      <w:r>
        <w:rPr xmlns:w="http://schemas.openxmlformats.org/wordprocessingml/2006/main">
          <w:rFonts w:ascii="Arial" w:cs="Arial" w:eastAsia="Arial" w:hAnsi="Arial"/>
          <w:sz w:val="16"/>
          <w:szCs w:val="16"/>
          <w:color w:val="auto"/>
        </w:rPr>
        <w:t xml:space="preserve"> Elke investering moet worden afgewogen tegen uw specifieke investeringsbehoeften en risicobereidheid.</w:t>
      </w:r>
      <w:r>
        <w:rPr xmlns:w="http://schemas.openxmlformats.org/wordprocessingml/2006/main">
          <w:rFonts w:ascii="Arial" w:cs="Arial" w:eastAsia="Arial" w:hAnsi="Arial"/>
          <w:sz w:val="16"/>
          <w:szCs w:val="16"/>
          <w:color w:val="auto"/>
        </w:rPr>
        <w:t xml:space="preserve"> BlackRock heeft de geschiktheid of geschiktheid van deze investering voor uw persoonlijke omstandigheden niet overwogen.</w:t>
      </w:r>
      <w:r>
        <w:rPr xmlns:w="http://schemas.openxmlformats.org/wordprocessingml/2006/main">
          <w:rFonts w:ascii="Arial" w:cs="Arial" w:eastAsia="Arial" w:hAnsi="Arial"/>
          <w:sz w:val="16"/>
          <w:szCs w:val="16"/>
          <w:color w:val="auto"/>
        </w:rPr>
        <w:t xml:space="preserve"> Als u twijfelt over de geschiktheid van de ETC voor uw behoeften, moet u passend professioneel advies inwinnen.</w:t>
      </w:r>
      <w:r>
        <w:rPr xmlns:w="http://schemas.openxmlformats.org/wordprocessingml/2006/main">
          <w:rFonts w:ascii="Arial" w:cs="Arial" w:eastAsia="Arial" w:hAnsi="Arial"/>
          <w:sz w:val="16"/>
          <w:szCs w:val="16"/>
          <w:color w:val="auto"/>
        </w:rPr>
        <w:t xml:space="preserve"> U kunt uw ETC-effecten dagelijks kopen of verkopen op de secundaire markt via een makelaar.</w:t>
      </w:r>
      <w:r>
        <w:rPr xmlns:w="http://schemas.openxmlformats.org/wordprocessingml/2006/main">
          <w:rFonts w:ascii="Arial" w:cs="Arial" w:eastAsia="Arial" w:hAnsi="Arial"/>
          <w:sz w:val="16"/>
          <w:szCs w:val="16"/>
          <w:color w:val="auto"/>
        </w:rPr>
        <w:t xml:space="preserve"> U kunt minder ontvangen dan verwacht als u eerder contant geld ontvangt dan de RHP.</w:t>
      </w:r>
      <w:r>
        <w:rPr xmlns:w="http://schemas.openxmlformats.org/wordprocessingml/2006/main">
          <w:rFonts w:ascii="Arial" w:cs="Arial" w:eastAsia="Arial" w:hAnsi="Arial"/>
          <w:sz w:val="16"/>
          <w:szCs w:val="16"/>
          <w:color w:val="auto"/>
        </w:rPr>
        <w:t xml:space="preserve"> Het RHP is een schatting en mag niet worden beschouwd als een garantie of een indicatie van toekomstige prestaties, rendement of risiconiveaus.</w:t>
      </w:r>
      <w:r>
        <w:rPr xmlns:w="http://schemas.openxmlformats.org/wordprocessingml/2006/main">
          <w:rFonts w:ascii="Arial" w:cs="Arial" w:eastAsia="Arial" w:hAnsi="Arial"/>
          <w:sz w:val="16"/>
          <w:szCs w:val="16"/>
          <w:color w:val="auto"/>
        </w:rPr>
        <w:t xml:space="preserve"> Neem contact op met uw makelaar, financieel adviseur of distributeur voor eventuele kosten.</w:t>
      </w:r>
    </w:p>
    <w:p>
      <w:pPr>
        <w:spacing w:after="0" w:line="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Hoe kan ik klagen?</w:t>
      </w:r>
    </w:p>
    <w:p>
      <w:pPr>
        <w:spacing w:after="0" w:line="22" w:lineRule="exact"/>
        <w:rPr>
          <w:sz w:val="20"/>
          <w:szCs w:val="20"/>
          <w:color w:val="auto"/>
        </w:rPr>
      </w:pPr>
    </w:p>
    <w:p>
      <w:pPr xmlns:w="http://schemas.openxmlformats.org/wordprocessingml/2006/main">
        <w:jc w:val="both"/>
        <w:ind w:left="20" w:right="4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Als u niet helemaal tevreden bent met een aspect van de service die u hebt ontvangen en u wilt een klacht indienen, zijn details van onze klachtenbehandeling beschikbaar op www.blackrock.com/uk/individual/about-blackrock/contact-us.</w:t>
      </w:r>
      <w:r>
        <w:rPr xmlns:w="http://schemas.openxmlformats.org/wordprocessingml/2006/main">
          <w:rFonts w:ascii="Arial" w:cs="Arial" w:eastAsia="Arial" w:hAnsi="Arial"/>
          <w:sz w:val="16"/>
          <w:szCs w:val="16"/>
          <w:color w:val="auto"/>
        </w:rPr>
        <w:t xml:space="preserve"> Daarnaast kunt u ook schrijven naar het Investor Services Team, op het hoofdkantoor van BlackRock in het Verenigd Koninkrijk, 12 Throgmorton Avenue, Londen, EC2N 2DL of een e-mail sturen naar enquiry@ukclientservices.blackrock.com.</w:t>
      </w:r>
    </w:p>
    <w:p>
      <w:pPr>
        <w:spacing w:after="0" w:line="18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Overige relevante informatie</w:t>
      </w:r>
    </w:p>
    <w:p>
      <w:pPr>
        <w:spacing w:after="0" w:line="22" w:lineRule="exact"/>
        <w:rPr>
          <w:sz w:val="20"/>
          <w:szCs w:val="20"/>
          <w:color w:val="auto"/>
        </w:rPr>
      </w:pPr>
    </w:p>
    <w:p>
      <w:pPr xmlns:w="http://schemas.openxmlformats.org/wordprocessingml/2006/main">
        <w:jc w:val="both"/>
        <w:ind w:left="20" w:right="40"/>
        <w:spacing w:after="0" w:line="244" w:lineRule="auto"/>
        <w:rPr>
          <w:sz w:val="20"/>
          <w:szCs w:val="20"/>
          <w:color w:val="auto"/>
        </w:rPr>
      </w:pPr>
      <w:r>
        <w:rPr xmlns:w="http://schemas.openxmlformats.org/wordprocessingml/2006/main">
          <w:rFonts w:ascii="Arial" w:cs="Arial" w:eastAsia="Arial" w:hAnsi="Arial"/>
          <w:sz w:val="16"/>
          <w:szCs w:val="16"/>
          <w:color w:val="auto"/>
        </w:rPr>
        <w:t xml:space="preserve">De meest recente versie van dit document, het ETC-basisprospectus, het laatste jaarverslag, halfjaarlijkse verslagen en 10 jaar(en) van eerdere prestaties kunnen gratis worden verkregen in het Engels en bepaalde andere talen, via www.blackrock.com of door te bellen naar +44 (0)845 357 7000 of van uw makelaar, financieel adviseur of distributeur.</w:t>
      </w:r>
    </w:p>
    <w:p>
      <w:pPr>
        <w:spacing w:after="0" w:line="1" w:lineRule="exact"/>
        <w:rPr>
          <w:sz w:val="20"/>
          <w:szCs w:val="20"/>
          <w:color w:val="auto"/>
        </w:rPr>
      </w:pPr>
    </w:p>
    <w:p>
      <w:pPr xmlns:w="http://schemas.openxmlformats.org/wordprocessingml/2006/main">
        <w:jc w:val="both"/>
        <w:ind w:left="20" w:right="40"/>
        <w:spacing w:after="0" w:line="259" w:lineRule="auto"/>
        <w:rPr>
          <w:sz w:val="20"/>
          <w:szCs w:val="20"/>
          <w:color w:val="auto"/>
        </w:rPr>
      </w:pPr>
      <w:r>
        <w:rPr xmlns:w="http://schemas.openxmlformats.org/wordprocessingml/2006/main">
          <w:rFonts w:ascii="Arial" w:cs="Arial" w:eastAsia="Arial" w:hAnsi="Arial"/>
          <w:sz w:val="16"/>
          <w:szCs w:val="16"/>
          <w:color w:val="auto"/>
        </w:rPr>
        <w:t xml:space="preserve">De benchmark(s) waarnaar hierin wordt verwezen, zijn het intellectuele eigendom van de indexaanbieder(s).</w:t>
      </w:r>
      <w:r>
        <w:rPr xmlns:w="http://schemas.openxmlformats.org/wordprocessingml/2006/main">
          <w:rFonts w:ascii="Arial" w:cs="Arial" w:eastAsia="Arial" w:hAnsi="Arial"/>
          <w:sz w:val="16"/>
          <w:szCs w:val="16"/>
          <w:color w:val="auto"/>
        </w:rPr>
        <w:t xml:space="preserve"> Het product wordt niet gesponsord of onderschreven door de indexaanbieder(s).</w:t>
      </w:r>
      <w:r>
        <w:rPr xmlns:w="http://schemas.openxmlformats.org/wordprocessingml/2006/main">
          <w:rFonts w:ascii="Arial" w:cs="Arial" w:eastAsia="Arial" w:hAnsi="Arial"/>
          <w:sz w:val="16"/>
          <w:szCs w:val="16"/>
          <w:color w:val="auto"/>
        </w:rPr>
        <w:t xml:space="preserve"> Raadpleeg het productprospectus en/of www.blackrock.com voor de volledige disclaimer(s).</w:t>
      </w:r>
    </w:p>
    <w:p>
      <w:pPr>
        <w:sectPr>
          <w:pgSz w:w="11900" w:h="16838" w:orient="portrait"/>
          <w:cols w:equalWidth="0" w:num="1">
            <w:col w:w="10780"/>
          </w:cols>
          <w:pgMar w:left="56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xmlns:w="http://schemas.openxmlformats.org/wordprocessingml/2006/main">
        <w:jc w:val="center"/>
        <w:ind w:right="-19"/>
        <w:spacing w:after="0"/>
        <w:rPr>
          <w:sz w:val="20"/>
          <w:szCs w:val="20"/>
          <w:color w:val="auto"/>
        </w:rPr>
      </w:pPr>
      <w:r>
        <w:rPr xmlns:w="http://schemas.openxmlformats.org/wordprocessingml/2006/main">
          <w:rFonts w:ascii="Arial" w:cs="Arial" w:eastAsia="Arial" w:hAnsi="Arial"/>
          <w:sz w:val="20"/>
          <w:szCs w:val="20"/>
          <w:color w:val="auto"/>
        </w:rPr>
        <w:t xml:space="preserve">3</w:t>
      </w:r>
    </w:p>
    <w:sectPr>
      <w:pgSz w:w="11900" w:h="16838" w:orient="portrait"/>
      <w:cols w:equalWidth="0" w:num="1">
        <w:col w:w="10780"/>
      </w:cols>
      <w:pgMar w:left="560" w:top="582" w:right="56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D336396"/>
    <w:multiLevelType w:val="hybridMultilevel"/>
    <w:lvl w:ilvl="0">
      <w:lvlJc w:val="left"/>
      <w:lvlText w:val="-"/>
      <w:numFmt w:val="bullet"/>
      <w:start w:val="1"/>
    </w:lvl>
  </w:abstractNum>
  <w:abstractNum w:abstractNumId="1">
    <w:nsid w:val="737180DB"/>
    <w:multiLevelType w:val="hybridMultilevel"/>
    <w:lvl w:ilvl="0">
      <w:lvlJc w:val="left"/>
      <w:lvlText w:val="*"/>
      <w:numFmt w:val="bullet"/>
      <w:start w:val="1"/>
    </w:lvl>
  </w:abstractNum>
  <w:abstractNum w:abstractNumId="2">
    <w:nsid w:val="4D9BA69B"/>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image" Target="media/image8.jpeg"/><Relationship Id="rId20" Type="http://schemas.openxmlformats.org/officeDocument/2006/relationships/image" Target="media/image9.jpeg"/><Relationship Id="rId21" Type="http://schemas.openxmlformats.org/officeDocument/2006/relationships/image" Target="media/image10.png"/><Relationship Id="rId22" Type="http://schemas.openxmlformats.org/officeDocument/2006/relationships/image" Target="media/image11.jpeg"/><Relationship Id="rId23" Type="http://schemas.openxmlformats.org/officeDocument/2006/relationships/image" Target="media/image12.jpeg"/><Relationship Id="rId24" Type="http://schemas.openxmlformats.org/officeDocument/2006/relationships/image" Target="media/image13.jpeg"/><Relationship Id="rId25" Type="http://schemas.openxmlformats.org/officeDocument/2006/relationships/image" Target="media/image14.jpeg"/><Relationship Id="rId26" Type="http://schemas.openxmlformats.org/officeDocument/2006/relationships/image" Target="media/image15.jpeg"/><Relationship Id="rId27" Type="http://schemas.openxmlformats.org/officeDocument/2006/relationships/image" Target="media/image16.jpeg"/><Relationship Id="rId28" Type="http://schemas.openxmlformats.org/officeDocument/2006/relationships/image" Target="media/image17.jpeg"/><Relationship Id="rId29" Type="http://schemas.openxmlformats.org/officeDocument/2006/relationships/image" Target="media/image18.jpeg"/><Relationship Id="rId30" Type="http://schemas.openxmlformats.org/officeDocument/2006/relationships/image" Target="media/image19.jpeg"/><Relationship Id="rId31" Type="http://schemas.openxmlformats.org/officeDocument/2006/relationships/image" Target="media/image20.jpeg"/><Relationship Id="rId32" Type="http://schemas.openxmlformats.org/officeDocument/2006/relationships/image" Target="media/image21.jpeg"/><Relationship Id="rId33" Type="http://schemas.openxmlformats.org/officeDocument/2006/relationships/image" Target="media/image22.png"/><Relationship Id="rId34"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2024-06-24T11:49:40Z</dcterms:created>
  <dcterms:modified xsi:type="dcterms:W3CDTF">2024-06-24T11:49:40Z</dcterms:modified>
</cp:coreProperties>
</file>