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Sleutelinformatiedocument</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doel</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In dit document vindt u belangrijke informatie over dit beleggingsproduct.</w:t>
      </w:r>
      <w:r>
        <w:rPr xmlns:w="http://schemas.openxmlformats.org/wordprocessingml/2006/main">
          <w:rFonts w:ascii="Arial" w:cs="Arial" w:eastAsia="Arial" w:hAnsi="Arial"/>
          <w:sz w:val="16"/>
          <w:szCs w:val="16"/>
          <w:color w:val="auto"/>
        </w:rPr>
        <w:t xml:space="preserve"> Het is geen marketingmateriaal.</w:t>
      </w:r>
      <w:r>
        <w:rPr xmlns:w="http://schemas.openxmlformats.org/wordprocessingml/2006/main">
          <w:rFonts w:ascii="Arial" w:cs="Arial" w:eastAsia="Arial" w:hAnsi="Arial"/>
          <w:sz w:val="16"/>
          <w:szCs w:val="16"/>
          <w:color w:val="auto"/>
        </w:rPr>
        <w:t xml:space="preserve"> De informatie is wettelijk vereist om u te helpen de aard, risico's, kosten, potentiële winsten en verliezen van dit product te begrijpen en om u te helpen het te vergelijken met andere producten.</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voortbrengsel</w:t>
      </w:r>
    </w:p>
    <w:p>
      <w:pPr>
        <w:spacing w:after="0" w:line="22"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Global Clean Energy UCITS ETF</w:t>
      </w:r>
      <w:r>
        <w:rPr xmlns:w="http://schemas.openxmlformats.org/wordprocessingml/2006/main">
          <w:rFonts w:ascii="Arial" w:cs="Arial" w:eastAsia="Arial" w:hAnsi="Arial"/>
          <w:sz w:val="16"/>
          <w:szCs w:val="16"/>
          <w:color w:val="auto"/>
        </w:rPr>
        <w:t xml:space="preserve"> (het "Fonds"), </w:t>
      </w:r>
      <w:r>
        <w:rPr xmlns:w="http://schemas.openxmlformats.org/wordprocessingml/2006/main">
          <w:rFonts w:ascii="Arial" w:cs="Arial" w:eastAsia="Arial" w:hAnsi="Arial"/>
          <w:sz w:val="16"/>
          <w:szCs w:val="16"/>
          <w:b w:val="1"/>
          <w:bCs w:val="1"/>
          <w:color w:val="auto"/>
        </w:rPr>
        <w:t xml:space="preserve">USD Dist</w:t>
      </w:r>
      <w:r>
        <w:rPr xmlns:w="http://schemas.openxmlformats.org/wordprocessingml/2006/main">
          <w:rFonts w:ascii="Arial" w:cs="Arial" w:eastAsia="Arial" w:hAnsi="Arial"/>
          <w:sz w:val="16"/>
          <w:szCs w:val="16"/>
          <w:color w:val="auto"/>
        </w:rPr>
        <w:t xml:space="preserve"> (de "Aandelenklasse"), ISIN: </w:t>
      </w:r>
      <w:r>
        <w:rPr xmlns:w="http://schemas.openxmlformats.org/wordprocessingml/2006/main">
          <w:rFonts w:ascii="Arial" w:cs="Arial" w:eastAsia="Arial" w:hAnsi="Arial"/>
          <w:sz w:val="16"/>
          <w:szCs w:val="16"/>
          <w:b w:val="1"/>
          <w:bCs w:val="1"/>
          <w:color w:val="auto"/>
        </w:rPr>
        <w:t xml:space="preserve">IE00B1XNHC34</w:t>
      </w:r>
      <w:r>
        <w:rPr xmlns:w="http://schemas.openxmlformats.org/wordprocessingml/2006/main">
          <w:rFonts w:ascii="Arial" w:cs="Arial" w:eastAsia="Arial" w:hAnsi="Arial"/>
          <w:sz w:val="16"/>
          <w:szCs w:val="16"/>
          <w:color w:val="auto"/>
        </w:rPr>
        <w:t xml:space="preserve">, is geautoriseerd in Ierland en wordt vervaardigd door BlackRock Asset Management Ireland Limited (de "Manager") die deel uitmaakt van de BlackRock, Inc groep.</w:t>
      </w:r>
    </w:p>
    <w:p>
      <w:pPr>
        <w:spacing w:after="0" w:line="1" w:lineRule="exact"/>
        <w:rPr>
          <w:sz w:val="24"/>
          <w:szCs w:val="24"/>
          <w:color w:val="auto"/>
        </w:rPr>
      </w:pP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Manager is geautoriseerd in Ierland en wordt gereguleerd door de Central Bank of Ireland (de "CBI") en de CBI is verantwoordelijk voor het toezicht op de Manager met betrekking tot dit Essentiële Informatiedocument.</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Meer informatie is beschikbaar op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of door te bellen naar </w:t>
      </w:r>
      <w:r>
        <w:rPr xmlns:w="http://schemas.openxmlformats.org/wordprocessingml/2006/main">
          <w:rFonts w:ascii="Arial" w:cs="Arial" w:eastAsia="Arial" w:hAnsi="Arial"/>
          <w:sz w:val="16"/>
          <w:szCs w:val="16"/>
          <w:b w:val="1"/>
          <w:bCs w:val="1"/>
          <w:color w:val="auto"/>
        </w:rPr>
        <w:t xml:space="preserve">+353 1 612 3394</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Dit document dateert van 28 december 2023.</w:t>
      </w:r>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is dit product?</w:t>
      </w:r>
    </w:p>
    <w:p>
      <w:pPr>
        <w:spacing w:after="0" w:line="16"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Type:</w:t>
      </w:r>
      <w:r>
        <w:rPr xmlns:w="http://schemas.openxmlformats.org/wordprocessingml/2006/main">
          <w:rFonts w:ascii="Arial" w:cs="Arial" w:eastAsia="Arial" w:hAnsi="Arial"/>
          <w:sz w:val="16"/>
          <w:szCs w:val="16"/>
          <w:color w:val="auto"/>
        </w:rPr>
        <w:t xml:space="preserve"> Het Fonds is een subfonds van iShares II plc, een in Ierland opgerichte overkoepelende vennootschap die door de Central Bank of Ireland is erkend als een instelling voor collectieve belegging in effecten ("icbe's").</w:t>
      </w:r>
      <w:r>
        <w:rPr xmlns:w="http://schemas.openxmlformats.org/wordprocessingml/2006/main">
          <w:rFonts w:ascii="Arial" w:cs="Arial" w:eastAsia="Arial" w:hAnsi="Arial"/>
          <w:sz w:val="16"/>
          <w:szCs w:val="16"/>
          <w:color w:val="auto"/>
        </w:rPr>
        <w:t xml:space="preserve"> Het fonds is een beursgenoteerd fonds van de ICBE, een ETF van de ICBE.</w:t>
      </w:r>
    </w:p>
    <w:p>
      <w:pPr>
        <w:spacing w:after="0" w:line="1" w:lineRule="exact"/>
        <w:rPr>
          <w:sz w:val="24"/>
          <w:szCs w:val="24"/>
          <w:color w:val="auto"/>
        </w:rPr>
      </w:pPr>
    </w:p>
    <w:p>
      <w:pPr xmlns:w="http://schemas.openxmlformats.org/wordprocessingml/2006/main">
        <w:jc w:val="both"/>
        <w:spacing w:after="0" w:line="260" w:lineRule="auto"/>
        <w:rPr>
          <w:sz w:val="20"/>
          <w:szCs w:val="20"/>
          <w:color w:val="auto"/>
        </w:rPr>
      </w:pPr>
      <w:r>
        <w:rPr xmlns:w="http://schemas.openxmlformats.org/wordprocessingml/2006/main">
          <w:rFonts w:ascii="Arial" w:cs="Arial" w:eastAsia="Arial" w:hAnsi="Arial"/>
          <w:sz w:val="16"/>
          <w:szCs w:val="16"/>
          <w:b w:val="1"/>
          <w:bCs w:val="1"/>
          <w:color w:val="auto"/>
        </w:rPr>
        <w:t xml:space="preserve">Termijn:</w:t>
      </w:r>
      <w:r>
        <w:rPr xmlns:w="http://schemas.openxmlformats.org/wordprocessingml/2006/main">
          <w:rFonts w:ascii="Arial" w:cs="Arial" w:eastAsia="Arial" w:hAnsi="Arial"/>
          <w:sz w:val="16"/>
          <w:szCs w:val="16"/>
          <w:color w:val="auto"/>
        </w:rPr>
        <w:t xml:space="preserve"> Het Fonds heeft geen vaste bestaansduur of looptijd, maar in bepaalde omstandigheden, zoals beschreven in het Prospectus van het Fonds, kan het Fonds eenzijdig worden beëindigd na een schriftelijke kennisgeving aan de houders van rechten van deelneming, op voorwaarde dat aan het Prospectus van het Fonds en de toepasselijke regelgeving wordt voldaan.</w:t>
      </w:r>
    </w:p>
    <w:p>
      <w:pPr>
        <w:spacing w:after="0" w:line="17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Doelstellingen</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Het fonds dat streeft naar een rendement op uw investering, door een combinatie van kapitaalgroei en inkomsten uit de activa van het fonds, die het rendement van de S&amp;P Global Clean Energy Index (de Index) weerspiegelt.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index meet de prestaties van ongeveer 100 van de grootste, beursgenoteerde bedrijven binnen de wereldwijde schone energieactiviteiten die voldoen aan specifieke beleggingseisen en de uitsluitingscriteria van de indexaanbieder op het gebied van milieu, sociale zaken en governance ("ESG") zoals uiteengezet in het Prospectus.</w:t>
      </w:r>
      <w:r>
        <w:rPr xmlns:w="http://schemas.openxmlformats.org/wordprocessingml/2006/main">
          <w:rFonts w:ascii="Arial" w:cs="Arial" w:eastAsia="Arial" w:hAnsi="Arial"/>
          <w:sz w:val="16"/>
          <w:szCs w:val="16"/>
          <w:color w:val="auto"/>
        </w:rPr>
        <w:t xml:space="preserve"> Bedrijven kunnen van de index worden uitgesloten als ze betrokken zijn bij controversiële wapens, handvuurwapens, militaire contracten, tabak, thermische steenkool, oliezanden, schaliegas, Arctische olie- en gasexploratie.</w:t>
      </w:r>
      <w:r>
        <w:rPr xmlns:w="http://schemas.openxmlformats.org/wordprocessingml/2006/main">
          <w:rFonts w:ascii="Arial" w:cs="Arial" w:eastAsia="Arial" w:hAnsi="Arial"/>
          <w:sz w:val="16"/>
          <w:szCs w:val="16"/>
          <w:color w:val="auto"/>
        </w:rPr>
        <w:t xml:space="preserve"> Bedrijven die zijn geclassificeerd als een schending van de Global Compact-principes van de Verenigde Naties of die zijn beoordeeld op basis van de ESG-principes van de indexaanbieder (die de betrokkenheid van een bedrijf bij ernstige ESG-controverses meten, of de blootstelling aan en het beheer van ESG-risico's, of een combinatie van de ESG-risico's en controverses van een bedrijf) worden ook uitgesloten.</w:t>
      </w:r>
      <w:r>
        <w:rPr xmlns:w="http://schemas.openxmlformats.org/wordprocessingml/2006/main">
          <w:rFonts w:ascii="Arial" w:cs="Arial" w:eastAsia="Arial" w:hAnsi="Arial"/>
          <w:sz w:val="16"/>
          <w:szCs w:val="16"/>
          <w:color w:val="auto"/>
        </w:rPr>
        <w:t xml:space="preserve"> De index omvat de gewichten van de afzonderlijke bestanddelen, zoals bepaald volgens de indexmethodologie.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-1062990</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Het Fonds is van plan de Index te repliceren door de aandelen, die deel uitmaken van de Index, in vergelijkbare verhoudingen aan te houden.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Het Fonds kan ook kortlopende gedekte leningen van zijn investeringen aan bepaalde in aanmerking komende derden aangaan om extra inkomsten te genereren ter compensatie van de kosten van het Fonds.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beleggingsbeheerder kan financiële afgeleide instrumenten (BDI) (d.w.z. beleggingen waarvan de prijzen op een of meer onderliggende activa liggen) gebruiken om de beleggingsdoelstelling van het Fonds te helpen verwezenlijken.</w:t>
      </w:r>
      <w:r>
        <w:rPr xmlns:w="http://schemas.openxmlformats.org/wordprocessingml/2006/main">
          <w:rFonts w:ascii="Arial" w:cs="Arial" w:eastAsia="Arial" w:hAnsi="Arial"/>
          <w:sz w:val="16"/>
          <w:szCs w:val="16"/>
          <w:color w:val="auto"/>
        </w:rPr>
        <w:t xml:space="preserve"> DBI's kunnen worden gebruikt voor directe-investeringsdoeleinden.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Het fonds hanteert een best-in-universe benadering van duurzaam beleggen, wat betekent dat het wordt verwacht te beleggen in de beste emittenten vanuit een ESG-perspectief (op basis van de ESG-criteria van de index) binnen het relevante universum dat door de index wordt bestreken.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-210185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koers van aandelen fluctueert dagelijks en kan worden beïnvloed door factoren die van invloed zijn op de prestaties van de individuele bedrijven die de aandelen uitgeven, evenals door dagelijkse beursbewegingen en bredere economische en politieke ontwikkelingen die op hun beurt de waarde van uw belegging kunnen beïnvloeden.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prijs van een DBI verandert dagelijks, afhankelijk van de waarde van het onderliggende referentieactief (de onderliggende referentieactiva), wat op zijn beurt de waarde van uw investering kan beïnvloeden.</w:t>
      </w:r>
      <w:r>
        <w:rPr xmlns:w="http://schemas.openxmlformats.org/wordprocessingml/2006/main">
          <w:rFonts w:ascii="Arial" w:cs="Arial" w:eastAsia="Arial" w:hAnsi="Arial"/>
          <w:sz w:val="16"/>
          <w:szCs w:val="16"/>
          <w:color w:val="auto"/>
        </w:rPr>
        <w:t xml:space="preserve"> Een verandering in de waarde van de onderliggende referentieactiva kan een grotere invloed hebben op de waarde van de directe buitenlandse investeringen dan wanneer de activa rechtstreeks werden aangehouden, aangezien directe buitenlandse investeringen gevoeliger kunnen zijn voor veranderingen.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relatie tussen het rendement op uw investering, hoe deze wordt beïnvloed en de periode waarvoor u uw investering aanhoudt, wordt hieronder beschouwd (zie "Hoe lang moet ik deze aanhouden en kan ik mijn geld vroeg opnemen?").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Nadere informatie over het Fonds is te vinden in het laatste jaarverslag en de halfjaarlijkse verslagen van iShares II plc.</w:t>
      </w:r>
      <w:r>
        <w:rPr xmlns:w="http://schemas.openxmlformats.org/wordprocessingml/2006/main">
          <w:rFonts w:ascii="Arial" w:cs="Arial" w:eastAsia="Arial" w:hAnsi="Arial"/>
          <w:sz w:val="16"/>
          <w:szCs w:val="16"/>
          <w:color w:val="auto"/>
        </w:rPr>
        <w:t xml:space="preserve"> Deze documenten zijn gratis beschikbaar in het Engels en in bepaalde andere talen.</w:t>
      </w:r>
      <w:r>
        <w:rPr xmlns:w="http://schemas.openxmlformats.org/wordprocessingml/2006/main">
          <w:rFonts w:ascii="Arial" w:cs="Arial" w:eastAsia="Arial" w:hAnsi="Arial"/>
          <w:sz w:val="16"/>
          <w:szCs w:val="16"/>
          <w:color w:val="auto"/>
        </w:rPr>
        <w:t xml:space="preserve"> Deze zijn, samen met andere (praktische) informatie, inclusief prijzen van eenheden, te vinden op de iShares-website op: www.ishares.com of door te bellen naar +44 (0)845 357 7000.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Uw aandelen zullen aandelen verdelen (d.w.z. inkomsten zullen halfjaarlijks op de aandelen worden betaald).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Uw aandelen zullen luiden in US Dollar, de basisvaluta van het Fonds.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2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De aandelen worden genoteerd en verhandeld op verschillende beurzen.</w:t>
      </w:r>
      <w:r>
        <w:rPr xmlns:w="http://schemas.openxmlformats.org/wordprocessingml/2006/main">
          <w:rFonts w:ascii="Arial" w:cs="Arial" w:eastAsia="Arial" w:hAnsi="Arial"/>
          <w:sz w:val="16"/>
          <w:szCs w:val="16"/>
          <w:color w:val="auto"/>
        </w:rPr>
        <w:t xml:space="preserve"> In normale omstandigheden mogen alleen geautoriseerde deelnemers aandelen rechtstreeks met het Fonds kopen en verkopen.</w:t>
      </w:r>
      <w:r>
        <w:rPr xmlns:w="http://schemas.openxmlformats.org/wordprocessingml/2006/main">
          <w:rFonts w:ascii="Arial" w:cs="Arial" w:eastAsia="Arial" w:hAnsi="Arial"/>
          <w:sz w:val="16"/>
          <w:szCs w:val="16"/>
          <w:color w:val="auto"/>
        </w:rPr>
        <w:t xml:space="preserve"> Beleggers die geen geautoriseerde deelnemers zijn (bv. geselecteerde financiële instellingen), kunnen de aandelen over het algemeen alleen kopen of verkopen op de secundaire markt (bv. via een makelaar op een beurs) tegen de dan geldende marktprijs.</w:t>
      </w:r>
      <w:r>
        <w:rPr xmlns:w="http://schemas.openxmlformats.org/wordprocessingml/2006/main">
          <w:rFonts w:ascii="Arial" w:cs="Arial" w:eastAsia="Arial" w:hAnsi="Arial"/>
          <w:sz w:val="16"/>
          <w:szCs w:val="16"/>
          <w:color w:val="auto"/>
        </w:rPr>
        <w:t xml:space="preserve"> De waarde van de aandelen hangt samen met de waarde van de onderliggende activa van het Fonds, minus kosten (zie "Wat zijn de kosten?" hieronder).</w:t>
      </w:r>
      <w:r>
        <w:rPr xmlns:w="http://schemas.openxmlformats.org/wordprocessingml/2006/main">
          <w:rFonts w:ascii="Arial" w:cs="Arial" w:eastAsia="Arial" w:hAnsi="Arial"/>
          <w:sz w:val="16"/>
          <w:szCs w:val="16"/>
          <w:color w:val="auto"/>
        </w:rPr>
        <w:t xml:space="preserve"> De geldende marktprijs waartegen de aandelen op de secundaire markt verhandelen, kan afwijken van de waarde van de aandelen.</w:t>
      </w:r>
      <w:r>
        <w:rPr xmlns:w="http://schemas.openxmlformats.org/wordprocessingml/2006/main">
          <w:rFonts w:ascii="Arial" w:cs="Arial" w:eastAsia="Arial" w:hAnsi="Arial"/>
          <w:sz w:val="16"/>
          <w:szCs w:val="16"/>
          <w:color w:val="auto"/>
        </w:rPr>
        <w:t xml:space="preserve"> De indicatieve intrinsieke waarde wordt gepubliceerd op de desbetreffende websites van de effectenbeurzen.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-581025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4" w:lineRule="exact"/>
        <w:rPr>
          <w:sz w:val="24"/>
          <w:szCs w:val="24"/>
          <w:color w:val="auto"/>
        </w:rPr>
      </w:pPr>
    </w:p>
    <w:p>
      <w:pPr xmlns:w="http://schemas.openxmlformats.org/wordprocessingml/2006/main">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Beoogd retailbelegger:</w:t>
      </w:r>
      <w:r>
        <w:rPr xmlns:w="http://schemas.openxmlformats.org/wordprocessingml/2006/main">
          <w:rFonts w:ascii="Arial" w:cs="Arial" w:eastAsia="Arial" w:hAnsi="Arial"/>
          <w:sz w:val="16"/>
          <w:szCs w:val="16"/>
          <w:color w:val="auto"/>
        </w:rPr>
        <w:t xml:space="preserve"> Het Fonds is bedoeld voor retailbeleggers met de mogelijkheid om verliezen te dragen tot het bedrag dat in het Fonds is geïnvesteerd (zie "Hoe lang moet ik het aanhouden en kan ik mijn geld vroegtijdig afsluiten?").</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Verzekeringsuitkeringen:</w:t>
      </w:r>
      <w:r>
        <w:rPr xmlns:w="http://schemas.openxmlformats.org/wordprocessingml/2006/main">
          <w:rFonts w:ascii="Arial" w:cs="Arial" w:eastAsia="Arial" w:hAnsi="Arial"/>
          <w:sz w:val="16"/>
          <w:szCs w:val="16"/>
          <w:color w:val="auto"/>
        </w:rPr>
        <w:t xml:space="preserve"> Het Fonds biedt geen verzekeringsuitkeringen.</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6"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risico’s en wat kan ik ervoor terugkrijgen?</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risico-indicator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6839585" cy="895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ind w:left="20"/>
        <w:spacing w:after="0"/>
        <w:tabs>
          <w:tab w:leader="none" w:pos="10000" w:val="left"/>
        </w:tabs>
        <w:rPr>
          <w:sz w:val="20"/>
          <w:szCs w:val="20"/>
          <w:color w:val="auto"/>
        </w:rPr>
      </w:pPr>
      <w:r>
        <w:rPr xmlns:w="http://schemas.openxmlformats.org/wordprocessingml/2006/main">
          <w:rFonts w:ascii="Arial" w:cs="Arial" w:eastAsia="Arial" w:hAnsi="Arial"/>
          <w:sz w:val="14"/>
          <w:szCs w:val="14"/>
          <w:b w:val="1"/>
          <w:bCs w:val="1"/>
          <w:color w:val="auto"/>
        </w:rPr>
        <w:t xml:space="preserve">Minder risico</w:t>
        <w:tab xmlns:w="http://schemas.openxmlformats.org/wordprocessingml/2006/main"/>
      </w:r>
      <w:r>
        <w:rPr xmlns:w="http://schemas.openxmlformats.org/wordprocessingml/2006/main">
          <w:rFonts w:ascii="Arial" w:cs="Arial" w:eastAsia="Arial" w:hAnsi="Arial"/>
          <w:sz w:val="14"/>
          <w:szCs w:val="14"/>
          <w:b w:val="1"/>
          <w:bCs w:val="1"/>
          <w:color w:val="auto"/>
        </w:rPr>
        <w:t xml:space="preserve">Hoger risico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46355</wp:posOffset>
            </wp:positionV>
            <wp:extent cx="6840220" cy="6515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2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De risico-indicator gaat ervan uit dat u het product gedurende 5 jaar bewaart.</w:t>
      </w:r>
      <w:r>
        <w:rPr xmlns:w="http://schemas.openxmlformats.org/wordprocessingml/2006/main">
          <w:rFonts w:ascii="Arial" w:cs="Arial" w:eastAsia="Arial" w:hAnsi="Arial"/>
          <w:sz w:val="16"/>
          <w:szCs w:val="16"/>
          <w:b w:val="1"/>
          <w:bCs w:val="1"/>
          <w:color w:val="auto"/>
        </w:rPr>
        <w:t xml:space="preserve"> Het werkelijke risico kan aanzienlijk variëren als u in een vroeg stadium contant betaalt en u mogelijk minder terugkrijgt.</w:t>
      </w:r>
    </w:p>
    <w:p>
      <w:pPr>
        <w:spacing w:after="0" w:line="118" w:lineRule="exact"/>
        <w:rPr>
          <w:sz w:val="20"/>
          <w:szCs w:val="20"/>
          <w:color w:val="auto"/>
        </w:rPr>
      </w:pP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samenvattende risico-indicator is een leidraad voor het risiconiveau van dit product in vergelijking met andere producten.</w:t>
      </w:r>
      <w:r>
        <w:rPr xmlns:w="http://schemas.openxmlformats.org/wordprocessingml/2006/main">
          <w:rFonts w:ascii="Arial" w:cs="Arial" w:eastAsia="Arial" w:hAnsi="Arial"/>
          <w:sz w:val="16"/>
          <w:szCs w:val="16"/>
          <w:color w:val="auto"/>
        </w:rPr>
        <w:t xml:space="preserve"> Het laat zien hoe waarschijnlijk het is dat het product geld zal verliezen door bewegingen in de markten of omdat we niet in staat zijn om u te betalen.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We hebben dit product geclassificeerd als 5 van de 7, wat een gemiddeld hoge risicoklasse is.</w:t>
      </w:r>
      <w:r>
        <w:rPr xmlns:w="http://schemas.openxmlformats.org/wordprocessingml/2006/main">
          <w:rFonts w:ascii="Arial" w:cs="Arial" w:eastAsia="Arial" w:hAnsi="Arial"/>
          <w:sz w:val="16"/>
          <w:szCs w:val="16"/>
          <w:color w:val="auto"/>
        </w:rPr>
        <w:t xml:space="preserve"> Deze classificatie beoordeelt de potentiële verliezen van toekomstige prestaties op een gemiddeld hoog niveau en slechte marktomstandigheden kunnen de waarde van uw investering beïnvloeden.</w:t>
      </w:r>
      <w:r>
        <w:rPr xmlns:w="http://schemas.openxmlformats.org/wordprocessingml/2006/main">
          <w:rFonts w:ascii="Arial" w:cs="Arial" w:eastAsia="Arial" w:hAnsi="Arial"/>
          <w:sz w:val="16"/>
          <w:szCs w:val="16"/>
          <w:color w:val="auto"/>
        </w:rPr>
        <w:t xml:space="preserve"> Deze indeling is niet gegarandeerd en kan in de loop van de tijd veranderen en vormt mogelijk geen betrouwbare indicatie van het toekomstige risicoprofiel van het Fonds.</w:t>
      </w:r>
      <w:r>
        <w:rPr xmlns:w="http://schemas.openxmlformats.org/wordprocessingml/2006/main">
          <w:rFonts w:ascii="Arial" w:cs="Arial" w:eastAsia="Arial" w:hAnsi="Arial"/>
          <w:sz w:val="16"/>
          <w:szCs w:val="16"/>
          <w:color w:val="auto"/>
        </w:rPr>
        <w:t xml:space="preserve"> De laagste categorie betekent niet risicovrij.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-338455</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8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Wees je bewust van het valutarisico.</w:t>
      </w:r>
      <w:r>
        <w:rPr xmlns:w="http://schemas.openxmlformats.org/wordprocessingml/2006/main">
          <w:rFonts w:ascii="Arial" w:cs="Arial" w:eastAsia="Arial" w:hAnsi="Arial"/>
          <w:sz w:val="16"/>
          <w:szCs w:val="16"/>
          <w:color w:val="auto"/>
        </w:rPr>
        <w:t xml:space="preserve"> Als u betalingen ontvangt in een valuta die verschilt van de basisvaluta van het product, is het uiteindelijke rendement dat u krijgt afhankelijk van de wisselkoers tussen de twee valuta's.</w:t>
      </w:r>
      <w:r>
        <w:rPr xmlns:w="http://schemas.openxmlformats.org/wordprocessingml/2006/main">
          <w:rFonts w:ascii="Arial" w:cs="Arial" w:eastAsia="Arial" w:hAnsi="Arial"/>
          <w:sz w:val="16"/>
          <w:szCs w:val="16"/>
          <w:color w:val="auto"/>
        </w:rPr>
        <w:t xml:space="preserve"> Dit risico wordt niet in aanmerking genomen in de hierboven weergegeven indicator.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Raadpleeg het Prospectus van het product voor meer informatie over andere, materieel relevante risico's die op dit product van toepassing kunnen zijn.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Dit product bevat geen bescherming tegen toekomstige marktprestaties, zodat u een deel of al uw investering kunt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Als het product niet in staat is om u te betalen wat verschuldigd is, kunt u uw volledige investering verliezen.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Prestatiescenario's</w:t>
      </w:r>
    </w:p>
    <w:p>
      <w:pPr>
        <w:spacing w:after="0" w:line="32" w:lineRule="exact"/>
        <w:rPr>
          <w:sz w:val="20"/>
          <w:szCs w:val="20"/>
          <w:color w:val="auto"/>
        </w:rPr>
      </w:pPr>
    </w:p>
    <w:p>
      <w:pPr xmlns:w="http://schemas.openxmlformats.org/wordprocessingml/2006/main">
        <w:jc w:val="both"/>
        <w:ind w:left="40" w:right="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De getoonde cijfers omvatten alle kosten van het product zelf, maar omvatten mogelijk niet alle kosten die u aan uw adviseur of distributeur betaalt.</w:t>
      </w:r>
      <w:r>
        <w:rPr xmlns:w="http://schemas.openxmlformats.org/wordprocessingml/2006/main">
          <w:rFonts w:ascii="Arial" w:cs="Arial" w:eastAsia="Arial" w:hAnsi="Arial"/>
          <w:sz w:val="16"/>
          <w:szCs w:val="16"/>
          <w:color w:val="auto"/>
        </w:rPr>
        <w:t xml:space="preserve"> De cijfers houden geen rekening met uw persoonlijke belastingsituatie, wat ook van invloed kan zijn op hoeveel u terugkrijgt.</w:t>
      </w:r>
      <w:r>
        <w:rPr xmlns:w="http://schemas.openxmlformats.org/wordprocessingml/2006/main">
          <w:rFonts w:ascii="Arial" w:cs="Arial" w:eastAsia="Arial" w:hAnsi="Arial"/>
          <w:sz w:val="16"/>
          <w:szCs w:val="16"/>
          <w:color w:val="auto"/>
        </w:rPr>
        <w:t xml:space="preserve"> Wat u van dit product krijgt, hangt af van de toekomstige marktprestaties.</w:t>
      </w:r>
      <w:r>
        <w:rPr xmlns:w="http://schemas.openxmlformats.org/wordprocessingml/2006/main">
          <w:rFonts w:ascii="Arial" w:cs="Arial" w:eastAsia="Arial" w:hAnsi="Arial"/>
          <w:sz w:val="16"/>
          <w:szCs w:val="16"/>
          <w:color w:val="auto"/>
        </w:rPr>
        <w:t xml:space="preserve"> Marktontwikkelingen in de toekomst zijn onzeker en kunnen niet nauwkeurig worden voorspeld.</w:t>
      </w:r>
      <w:r>
        <w:rPr xmlns:w="http://schemas.openxmlformats.org/wordprocessingml/2006/main">
          <w:rFonts w:ascii="Arial" w:cs="Arial" w:eastAsia="Arial" w:hAnsi="Arial"/>
          <w:sz w:val="16"/>
          <w:szCs w:val="16"/>
          <w:color w:val="auto"/>
        </w:rPr>
        <w:t xml:space="preserve"> De ongunstige, gematigde en gunstige scenario's die worden getoond, zijn illustraties die gebruik maken van de slechtste, gemiddelde en beste prestaties van het product, waaronder mogelijk input van benchmark(s) / proxy, gedurende de afgelopen tien jaar.</w:t>
      </w:r>
      <w:r>
        <w:rPr xmlns:w="http://schemas.openxmlformats.org/wordprocessingml/2006/main">
          <w:rFonts w:ascii="Arial" w:cs="Arial" w:eastAsia="Arial" w:hAnsi="Arial"/>
          <w:sz w:val="16"/>
          <w:szCs w:val="16"/>
          <w:color w:val="auto"/>
        </w:rPr>
        <w:t xml:space="preserve"> Markten kunnen zich in de toekomst heel anders ontwikkelen.</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590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Aanbevolen wachttijd: 5 jaar</w:t>
            </w:r>
          </w:p>
        </w:tc>
        <w:tc>
          <w:tcPr>
            <w:tcW w:w="4880" w:type="dxa"/>
            <w:vAlign w:val="bottom"/>
            <w:gridSpan w:val="2"/>
            <w:shd w:val="clear" w:color="auto" w:fill="000000"/>
          </w:tcPr>
          <w:p>
            <w:pPr xmlns:w="http://schemas.openxmlformats.org/wordprocessingml/2006/main">
              <w:ind w:left="19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Voorbeeld investering: USD 10.000</w:t>
            </w:r>
          </w:p>
        </w:tc>
      </w:tr>
      <w:tr>
        <w:trPr>
          <w:trHeight w:val="223"/>
        </w:trPr>
        <w:tc>
          <w:tcPr>
            <w:tcW w:w="1900" w:type="dxa"/>
            <w:vAlign w:val="bottom"/>
            <w:tcBorders>
              <w:bottom w:val="single" w:sz="8" w:color="auto"/>
            </w:tcBorders>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Scenario's</w:t>
            </w:r>
          </w:p>
        </w:tc>
        <w:tc>
          <w:tcPr>
            <w:tcW w:w="4000" w:type="dxa"/>
            <w:vAlign w:val="bottom"/>
            <w:tcBorders>
              <w:bottom w:val="single" w:sz="8" w:color="auto"/>
            </w:tcBorders>
            <w:shd w:val="clear" w:color="auto" w:fill="000000"/>
          </w:tcPr>
          <w:p>
            <w:pPr>
              <w:spacing w:after="0"/>
              <w:rPr>
                <w:sz w:val="19"/>
                <w:szCs w:val="19"/>
                <w:color w:val="auto"/>
              </w:rPr>
            </w:pPr>
          </w:p>
        </w:tc>
        <w:tc>
          <w:tcPr>
            <w:tcW w:w="2920" w:type="dxa"/>
            <w:vAlign w:val="bottom"/>
            <w:tcBorders>
              <w:bottom w:val="single" w:sz="8" w:color="auto"/>
            </w:tcBorders>
            <w:shd w:val="clear" w:color="auto" w:fill="000000"/>
          </w:tcPr>
          <w:p>
            <w:pPr xmlns:w="http://schemas.openxmlformats.org/wordprocessingml/2006/main">
              <w:ind w:left="11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1 jaar vertrekt</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5 jaar vertrekt</w:t>
            </w:r>
          </w:p>
        </w:tc>
      </w:tr>
      <w:tr>
        <w:trPr>
          <w:trHeight w:val="187"/>
        </w:trPr>
        <w:tc>
          <w:tcPr>
            <w:tcW w:w="19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minimum</w:t>
            </w:r>
          </w:p>
        </w:tc>
        <w:tc>
          <w:tcPr>
            <w:tcW w:w="6920" w:type="dxa"/>
            <w:vAlign w:val="bottom"/>
            <w:tcBorders>
              <w:bottom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Er is geen gegarandeerd minimumrendement.</w:t>
            </w:r>
            <w:r>
              <w:rPr xmlns:w="http://schemas.openxmlformats.org/wordprocessingml/2006/main">
                <w:rFonts w:ascii="Arial" w:cs="Arial" w:eastAsia="Arial" w:hAnsi="Arial"/>
                <w:sz w:val="16"/>
                <w:szCs w:val="16"/>
                <w:b w:val="1"/>
                <w:bCs w:val="1"/>
                <w:color w:val="auto"/>
              </w:rPr>
              <w:t xml:space="preserve"> U kunt een deel van of uw gehele investering verliezen.</w:t>
            </w:r>
          </w:p>
        </w:tc>
        <w:tc>
          <w:tcPr>
            <w:tcW w:w="1980" w:type="dxa"/>
            <w:vAlign w:val="bottom"/>
            <w:tcBorders>
              <w:bottom w:val="single" w:sz="8" w:color="auto"/>
            </w:tcBorders>
          </w:tcPr>
          <w:p>
            <w:pPr>
              <w:spacing w:after="0"/>
              <w:rPr>
                <w:sz w:val="16"/>
                <w:szCs w:val="16"/>
                <w:color w:val="auto"/>
              </w:rPr>
            </w:pP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Stress*</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5.830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1.580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-41,7 %</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-30,9 %</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Ongunstig**</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6.280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4.430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-37,2 %</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-15,0%</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Matig***</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10.100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21.660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16,7 %</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Gunstig****</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Wat je terugkrijgt na de kosten</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25.080 USD</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38.030 USD</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Gemiddeld rendement per jaar</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150,8 %</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30,6 %</w:t>
            </w:r>
          </w:p>
        </w:tc>
      </w:tr>
    </w:tbl>
    <w:p>
      <w:pPr>
        <w:spacing w:after="0" w:line="18" w:lineRule="exact"/>
        <w:rPr>
          <w:sz w:val="20"/>
          <w:szCs w:val="20"/>
          <w:color w:val="auto"/>
        </w:rPr>
      </w:pPr>
    </w:p>
    <w:p>
      <w:pPr xmlns:w="http://schemas.openxmlformats.org/wordprocessingml/2006/main">
        <w:ind w:left="400" w:hanging="388"/>
        <w:spacing w:after="0"/>
        <w:tabs>
          <w:tab w:leader="none" w:pos="40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Het stressscenario laat zien wat u in extreme marktomstandigheden kunt terugkrijgen.</w:t>
      </w:r>
    </w:p>
    <w:p>
      <w:pPr>
        <w:spacing w:after="0" w:line="11" w:lineRule="exact"/>
        <w:rPr>
          <w:rFonts w:ascii="Arial" w:cs="Arial" w:eastAsia="Arial" w:hAnsi="Arial"/>
          <w:sz w:val="16"/>
          <w:szCs w:val="16"/>
          <w:color w:val="auto"/>
        </w:rPr>
      </w:pPr>
    </w:p>
    <w:p>
      <w:pPr xmlns:w="http://schemas.openxmlformats.org/wordprocessingml/2006/main">
        <w:ind w:left="400" w:hanging="387"/>
        <w:spacing w:after="0" w:line="185" w:lineRule="auto"/>
        <w:tabs>
          <w:tab w:leader="none" w:pos="400" w:val="left"/>
        </w:tabs>
        <w:numPr>
          <w:ilvl w:val="0"/>
          <w:numId w:val="2"/>
        </w:numPr>
        <w:rPr>
          <w:rFonts w:ascii="Arial" w:cs="Arial" w:eastAsia="Arial" w:hAnsi="Arial"/>
          <w:sz w:val="25"/>
          <w:szCs w:val="25"/>
          <w:color w:val="auto"/>
          <w:vertAlign w:val="subscript"/>
        </w:rPr>
      </w:pPr>
      <w:r>
        <w:rPr xmlns:w="http://schemas.openxmlformats.org/wordprocessingml/2006/main">
          <w:rFonts w:ascii="Arial" w:cs="Arial" w:eastAsia="Arial" w:hAnsi="Arial"/>
          <w:sz w:val="13"/>
          <w:szCs w:val="13"/>
          <w:color w:val="auto"/>
        </w:rPr>
        <w:t xml:space="preserve">Dit type scenario deed zich voor bij een investering in het product en/of de benchmark(s) of proxy tussen januari 2021 en oktober 2023.</w:t>
      </w:r>
    </w:p>
    <w:p>
      <w:pPr>
        <w:spacing w:after="0" w:line="54" w:lineRule="exact"/>
        <w:rPr>
          <w:rFonts w:ascii="Arial" w:cs="Arial" w:eastAsia="Arial" w:hAnsi="Arial"/>
          <w:sz w:val="25"/>
          <w:szCs w:val="25"/>
          <w:color w:val="auto"/>
          <w:vertAlign w:val="subscript"/>
        </w:rPr>
      </w:pPr>
    </w:p>
    <w:p>
      <w:pPr xmlns:w="http://schemas.openxmlformats.org/wordprocessingml/2006/main">
        <w:ind w:left="400" w:hanging="387"/>
        <w:spacing w:after="0" w:line="184" w:lineRule="auto"/>
        <w:tabs>
          <w:tab w:leader="none" w:pos="400" w:val="left"/>
        </w:tabs>
        <w:numPr>
          <w:ilvl w:val="0"/>
          <w:numId w:val="3"/>
        </w:numPr>
        <w:rPr>
          <w:rFonts w:ascii="Arial" w:cs="Arial" w:eastAsia="Arial" w:hAnsi="Arial"/>
          <w:sz w:val="21"/>
          <w:szCs w:val="21"/>
          <w:color w:val="auto"/>
          <w:vertAlign w:val="subscript"/>
        </w:rPr>
      </w:pPr>
      <w:r>
        <w:rPr xmlns:w="http://schemas.openxmlformats.org/wordprocessingml/2006/main">
          <w:rFonts w:ascii="Arial" w:cs="Arial" w:eastAsia="Arial" w:hAnsi="Arial"/>
          <w:sz w:val="12"/>
          <w:szCs w:val="12"/>
          <w:color w:val="auto"/>
        </w:rPr>
        <w:t xml:space="preserve">Dit type scenario deed zich voor bij een investering in het product en/of de benchmark(s) of proxy tussen februari 2018 en februari 2023.</w:t>
      </w:r>
    </w:p>
    <w:p>
      <w:pPr>
        <w:spacing w:after="0" w:line="54" w:lineRule="exact"/>
        <w:rPr>
          <w:rFonts w:ascii="Arial" w:cs="Arial" w:eastAsia="Arial" w:hAnsi="Arial"/>
          <w:sz w:val="21"/>
          <w:szCs w:val="21"/>
          <w:color w:val="auto"/>
          <w:vertAlign w:val="subscript"/>
        </w:rPr>
      </w:pPr>
    </w:p>
    <w:p>
      <w:pPr xmlns:w="http://schemas.openxmlformats.org/wordprocessingml/2006/main">
        <w:ind w:left="400" w:hanging="387"/>
        <w:spacing w:after="0" w:line="184" w:lineRule="auto"/>
        <w:tabs>
          <w:tab w:leader="none" w:pos="400" w:val="left"/>
        </w:tabs>
        <w:numPr>
          <w:ilvl w:val="0"/>
          <w:numId w:val="4"/>
        </w:numPr>
        <w:rPr>
          <w:rFonts w:ascii="Arial" w:cs="Arial" w:eastAsia="Arial" w:hAnsi="Arial"/>
          <w:sz w:val="21"/>
          <w:szCs w:val="21"/>
          <w:color w:val="auto"/>
          <w:vertAlign w:val="subscript"/>
        </w:rPr>
      </w:pPr>
      <w:r>
        <w:rPr xmlns:w="http://schemas.openxmlformats.org/wordprocessingml/2006/main">
          <w:rFonts w:ascii="Arial" w:cs="Arial" w:eastAsia="Arial" w:hAnsi="Arial"/>
          <w:sz w:val="12"/>
          <w:szCs w:val="12"/>
          <w:color w:val="auto"/>
        </w:rPr>
        <w:t xml:space="preserve">Dit type scenario deed zich voor bij een investering in het product en/of de benchmark(s) of proxy tussen januari 2016 en januari 2021.</w:t>
      </w:r>
    </w:p>
    <w:p>
      <w:pPr>
        <w:spacing w:after="0" w:line="5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gebeurt er als BlackRock Asset Management Ireland Limited niet kan uitbetalen?</w:t>
      </w:r>
    </w:p>
    <w:p>
      <w:pPr>
        <w:spacing w:after="0" w:line="16"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De activa van het Fonds worden in bewaring gehouden door zijn bewaarder, State Street Custodial Services (Ireland) Limited (de "bewaarder").</w:t>
      </w:r>
      <w:r>
        <w:rPr xmlns:w="http://schemas.openxmlformats.org/wordprocessingml/2006/main">
          <w:rFonts w:ascii="Arial" w:cs="Arial" w:eastAsia="Arial" w:hAnsi="Arial"/>
          <w:sz w:val="16"/>
          <w:szCs w:val="16"/>
          <w:color w:val="auto"/>
        </w:rPr>
        <w:t xml:space="preserve"> In geval van insolventie van de Beheerder worden de activa van het Fonds in de bewaring van de Bewaarder niet aangetast.</w:t>
      </w:r>
      <w:r>
        <w:rPr xmlns:w="http://schemas.openxmlformats.org/wordprocessingml/2006/main">
          <w:rFonts w:ascii="Arial" w:cs="Arial" w:eastAsia="Arial" w:hAnsi="Arial"/>
          <w:sz w:val="16"/>
          <w:szCs w:val="16"/>
          <w:color w:val="auto"/>
        </w:rPr>
        <w:t xml:space="preserve"> In geval van insolventie van de depositaris of van iemand die namens hem optreedt, kan het fonds echter een financieel verlies lijden.</w:t>
      </w:r>
      <w:r>
        <w:rPr xmlns:w="http://schemas.openxmlformats.org/wordprocessingml/2006/main">
          <w:rFonts w:ascii="Arial" w:cs="Arial" w:eastAsia="Arial" w:hAnsi="Arial"/>
          <w:sz w:val="16"/>
          <w:szCs w:val="16"/>
          <w:color w:val="auto"/>
        </w:rPr>
        <w:t xml:space="preserve"> Dit risico wordt echter tot op zekere hoogte beperkt door het feit dat de bewaarder krachtens wet- en regelgeving verplicht is zijn eigen activa af te scheiden van de activa van het Fonds.</w:t>
      </w:r>
      <w:r>
        <w:rPr xmlns:w="http://schemas.openxmlformats.org/wordprocessingml/2006/main">
          <w:rFonts w:ascii="Arial" w:cs="Arial" w:eastAsia="Arial" w:hAnsi="Arial"/>
          <w:sz w:val="16"/>
          <w:szCs w:val="16"/>
          <w:color w:val="auto"/>
        </w:rPr>
        <w:t xml:space="preserve"> De Depositaris is ook aansprakelijk jegens het Fonds en de beleggers voor alle verliezen die voortvloeien uit, onder andere, zijn nalatigheid, fraude of opzettelijke niet-nakoming van zijn verplichtingen (behoudens bepaalde beperkingen).</w:t>
      </w:r>
      <w:r>
        <w:rPr xmlns:w="http://schemas.openxmlformats.org/wordprocessingml/2006/main">
          <w:rFonts w:ascii="Arial" w:cs="Arial" w:eastAsia="Arial" w:hAnsi="Arial"/>
          <w:sz w:val="16"/>
          <w:szCs w:val="16"/>
          <w:color w:val="auto"/>
        </w:rPr>
        <w:t xml:space="preserve"> Als aandeelhouder van het Fonds zou u geen aanspraak kunnen maken op de Britse Financial Services Compensation Scheme of een andere regeling over het Fonds in het geval dat het Fonds niet in staat is om uit te betalen.</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0"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80"/>
          </w:cols>
          <w:pgMar w:left="56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Wat zijn de kosten?</w:t>
      </w:r>
    </w:p>
    <w:p>
      <w:pPr>
        <w:spacing w:after="0" w:line="28" w:lineRule="exact"/>
        <w:rPr>
          <w:sz w:val="20"/>
          <w:szCs w:val="20"/>
          <w:color w:val="auto"/>
        </w:rPr>
      </w:pPr>
    </w:p>
    <w:p>
      <w:pPr xmlns:w="http://schemas.openxmlformats.org/wordprocessingml/2006/main">
        <w:jc w:val="both"/>
        <w:ind w:left="20" w:right="40"/>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De persoon die u adviseert over of verkoopt dit product kan u andere kosten in rekening brengen.</w:t>
      </w:r>
      <w:r>
        <w:rPr xmlns:w="http://schemas.openxmlformats.org/wordprocessingml/2006/main">
          <w:rFonts w:ascii="Arial" w:cs="Arial" w:eastAsia="Arial" w:hAnsi="Arial"/>
          <w:sz w:val="16"/>
          <w:szCs w:val="16"/>
          <w:color w:val="auto"/>
        </w:rPr>
        <w:t xml:space="preserve"> Als dat zo is, zal deze persoon u informatie verstrekken over deze kosten en hoe deze uw investering beïnvloeden.</w:t>
      </w:r>
    </w:p>
    <w:p>
      <w:pPr>
        <w:spacing w:after="0" w:line="1"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Kosten in de loop van de tijd:</w:t>
      </w:r>
      <w:r>
        <w:rPr xmlns:w="http://schemas.openxmlformats.org/wordprocessingml/2006/main">
          <w:rFonts w:ascii="Arial" w:cs="Arial" w:eastAsia="Arial" w:hAnsi="Arial"/>
          <w:sz w:val="16"/>
          <w:szCs w:val="16"/>
          <w:color w:val="auto"/>
        </w:rPr>
        <w:t xml:space="preserve"> De tabellen tonen de bedragen die uit uw investering worden gehaald om verschillende soorten kosten te dekken.</w:t>
      </w:r>
      <w:r>
        <w:rPr xmlns:w="http://schemas.openxmlformats.org/wordprocessingml/2006/main">
          <w:rFonts w:ascii="Arial" w:cs="Arial" w:eastAsia="Arial" w:hAnsi="Arial"/>
          <w:sz w:val="16"/>
          <w:szCs w:val="16"/>
          <w:color w:val="auto"/>
        </w:rPr>
        <w:t xml:space="preserve"> Deze bedragen zijn afhankelijk van hoeveel u investeert, hoe lang u het product vasthoudt en hoe goed het product doet.</w:t>
      </w:r>
      <w:r>
        <w:rPr xmlns:w="http://schemas.openxmlformats.org/wordprocessingml/2006/main">
          <w:rFonts w:ascii="Arial" w:cs="Arial" w:eastAsia="Arial" w:hAnsi="Arial"/>
          <w:sz w:val="16"/>
          <w:szCs w:val="16"/>
          <w:color w:val="auto"/>
        </w:rPr>
        <w:t xml:space="preserve"> De hier getoonde bedragen zijn illustraties op basis van een voorbeeldinvesteringsbedrag en verschillende mogelijke investeringsperioden.</w:t>
      </w:r>
    </w:p>
    <w:tbl>
      <w:tblPr>
        <w:tblLayout w:type="fixed"/>
        <w:tblInd w:w="0" w:type="dxa"/>
        <w:tblCellMar>
          <w:top w:w="0" w:type="dxa"/>
          <w:left w:w="0" w:type="dxa"/>
          <w:bottom w:w="0" w:type="dxa"/>
          <w:right w:w="0" w:type="dxa"/>
        </w:tblCellMar>
      </w:tblPr>
      <w:tr>
        <w:trPr>
          <w:trHeight w:val="188"/>
        </w:trPr>
        <w:tc>
          <w:tcPr>
            <w:tcW w:w="68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We zijn uitgegaan van:</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0"/>
        </w:trPr>
        <w:tc>
          <w:tcPr>
            <w:tcW w:w="686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In het eerste jaar zou je het bedrag terugkrijgen dat je hebt geïnvesteerd (0% jaarlijks rendement).</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2"/>
        </w:trPr>
        <w:tc>
          <w:tcPr>
            <w:tcW w:w="8820" w:type="dxa"/>
            <w:vAlign w:val="bottom"/>
            <w:gridSpan w:val="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Voor de overige bewaarperioden hebben wij aangenomen dat het product presteert zoals in het gematigde scenario is weergegeven.</w:t>
            </w:r>
          </w:p>
        </w:tc>
        <w:tc>
          <w:tcPr>
            <w:tcW w:w="1980" w:type="dxa"/>
            <w:vAlign w:val="bottom"/>
          </w:tcPr>
          <w:p>
            <w:pPr>
              <w:spacing w:after="0"/>
              <w:rPr>
                <w:sz w:val="16"/>
                <w:szCs w:val="16"/>
                <w:color w:val="auto"/>
              </w:rPr>
            </w:pPr>
          </w:p>
        </w:tc>
      </w:tr>
      <w:tr>
        <w:trPr>
          <w:trHeight w:val="176"/>
        </w:trPr>
        <w:tc>
          <w:tcPr>
            <w:tcW w:w="6860" w:type="dxa"/>
            <w:vAlign w:val="bottom"/>
          </w:tcPr>
          <w:p>
            <w:pPr xmlns:w="http://schemas.openxmlformats.org/wordprocessingml/2006/main">
              <w:ind w:left="28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Er wordt 10.000 dollar geïnvesteerd.</w:t>
            </w:r>
          </w:p>
        </w:tc>
        <w:tc>
          <w:tcPr>
            <w:tcW w:w="1960" w:type="dxa"/>
            <w:vAlign w:val="bottom"/>
          </w:tcPr>
          <w:p>
            <w:pPr>
              <w:spacing w:after="0"/>
              <w:rPr>
                <w:sz w:val="15"/>
                <w:szCs w:val="15"/>
                <w:color w:val="auto"/>
              </w:rPr>
            </w:pPr>
          </w:p>
        </w:tc>
        <w:tc>
          <w:tcPr>
            <w:tcW w:w="1980" w:type="dxa"/>
            <w:vAlign w:val="bottom"/>
          </w:tcPr>
          <w:p>
            <w:pPr>
              <w:spacing w:after="0"/>
              <w:rPr>
                <w:sz w:val="15"/>
                <w:szCs w:val="15"/>
                <w:color w:val="auto"/>
              </w:rPr>
            </w:pPr>
          </w:p>
        </w:tc>
      </w:tr>
      <w:tr>
        <w:trPr>
          <w:trHeight w:val="192"/>
        </w:trPr>
        <w:tc>
          <w:tcPr>
            <w:tcW w:w="6860" w:type="dxa"/>
            <w:vAlign w:val="bottom"/>
            <w:tcBorders>
              <w:bottom w:val="single" w:sz="8" w:color="auto"/>
            </w:tcBorders>
            <w:shd w:val="clear" w:color="auto" w:fill="000000"/>
          </w:tcPr>
          <w:p>
            <w:pPr>
              <w:spacing w:after="0"/>
              <w:rPr>
                <w:sz w:val="16"/>
                <w:szCs w:val="16"/>
                <w:color w:val="auto"/>
              </w:rPr>
            </w:pPr>
          </w:p>
        </w:tc>
        <w:tc>
          <w:tcPr>
            <w:tcW w:w="1960" w:type="dxa"/>
            <w:vAlign w:val="bottom"/>
            <w:tcBorders>
              <w:bottom w:val="single" w:sz="8" w:color="auto"/>
            </w:tcBorders>
            <w:shd w:val="clear" w:color="auto" w:fill="00000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1 jaar vertrekt</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5 jaar vertrekt</w:t>
            </w:r>
          </w:p>
        </w:tc>
      </w:tr>
      <w:tr>
        <w:trPr>
          <w:trHeight w:val="187"/>
        </w:trPr>
        <w:tc>
          <w:tcPr>
            <w:tcW w:w="686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Totale kosten</w:t>
            </w:r>
          </w:p>
        </w:tc>
        <w:tc>
          <w:tcPr>
            <w:tcW w:w="1960" w:type="dxa"/>
            <w:vAlign w:val="bottom"/>
            <w:tcBorders>
              <w:bottom w:val="single" w:sz="8" w:color="auto"/>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72 USD</w:t>
            </w:r>
          </w:p>
        </w:tc>
        <w:tc>
          <w:tcPr>
            <w:tcW w:w="1980" w:type="dxa"/>
            <w:vAlign w:val="bottom"/>
            <w:tcBorders>
              <w:bottom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790 USD</w:t>
            </w:r>
          </w:p>
        </w:tc>
      </w:tr>
      <w:tr>
        <w:trPr>
          <w:trHeight w:val="177"/>
        </w:trPr>
        <w:tc>
          <w:tcPr>
            <w:tcW w:w="686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Jaarlijkse kostenimpact (*)</w:t>
            </w:r>
          </w:p>
        </w:tc>
        <w:tc>
          <w:tcPr>
            <w:tcW w:w="1960" w:type="dxa"/>
            <w:vAlign w:val="bottom"/>
            <w:tcBorders>
              <w:bottom w:val="single" w:sz="8" w:color="auto"/>
            </w:tcBorders>
          </w:tcPr>
          <w:p>
            <w:pPr xmlns:w="http://schemas.openxmlformats.org/wordprocessingml/2006/main">
              <w:ind w:left="1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0,7 %</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0,8 %</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-702945</wp:posOffset>
            </wp:positionV>
            <wp:extent cx="71755" cy="717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-581025</wp:posOffset>
            </wp:positionV>
            <wp:extent cx="71755" cy="717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-459740</wp:posOffset>
            </wp:positionV>
            <wp:extent cx="71755" cy="7175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right="40" w:hanging="8"/>
        <w:spacing w:after="0" w:line="252" w:lineRule="auto"/>
        <w:tabs>
          <w:tab w:leader="none" w:pos="246" w:val="left"/>
        </w:tabs>
        <w:numPr>
          <w:ilvl w:val="0"/>
          <w:numId w:val="5"/>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Dit illustreert hoe de kosten uw rendement elk jaar gedurende de aanhoudingsperiode verminderen.</w:t>
      </w:r>
      <w:r>
        <w:rPr xmlns:w="http://schemas.openxmlformats.org/wordprocessingml/2006/main">
          <w:rFonts w:ascii="Arial" w:cs="Arial" w:eastAsia="Arial" w:hAnsi="Arial"/>
          <w:sz w:val="16"/>
          <w:szCs w:val="16"/>
          <w:color w:val="auto"/>
        </w:rPr>
        <w:t xml:space="preserve"> Hieruit blijkt bijvoorbeeld dat als u bij de aanbevolen houdperiode vertrekt, uw gemiddelde rendement per jaar naar verwachting 17,6 % vóór de kosten en 16,7 % na de kosten zal bedragen.</w:t>
      </w:r>
    </w:p>
    <w:p>
      <w:pPr>
        <w:spacing w:after="0" w:line="1" w:lineRule="exact"/>
        <w:rPr>
          <w:rFonts w:ascii="Arial" w:cs="Arial" w:eastAsia="Arial" w:hAnsi="Arial"/>
          <w:sz w:val="16"/>
          <w:szCs w:val="16"/>
          <w:color w:val="auto"/>
        </w:rPr>
      </w:pPr>
    </w:p>
    <w:p>
      <w:pPr xmlns:w="http://schemas.openxmlformats.org/wordprocessingml/2006/main">
        <w:ind w:left="20" w:right="40"/>
        <w:spacing w:after="0" w:line="249"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We kunnen een deel van de kosten delen met de persoon die het product aan u verkoopt om de diensten te dekken die zij aan u leveren.</w:t>
      </w:r>
      <w:r>
        <w:rPr xmlns:w="http://schemas.openxmlformats.org/wordprocessingml/2006/main">
          <w:rFonts w:ascii="Arial" w:cs="Arial" w:eastAsia="Arial" w:hAnsi="Arial"/>
          <w:sz w:val="16"/>
          <w:szCs w:val="16"/>
          <w:color w:val="auto"/>
        </w:rPr>
        <w:t xml:space="preserve"> Zij zullen u op de hoogte brengen van het bedrag.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108585</wp:posOffset>
            </wp:positionV>
            <wp:extent cx="6840220" cy="37465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w:spacing w:after="0" w:line="172"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Samenstelling van de kosten</w:t>
      </w:r>
    </w:p>
    <w:p>
      <w:pPr>
        <w:spacing w:after="0" w:line="17" w:lineRule="exact"/>
        <w:rPr>
          <w:sz w:val="20"/>
          <w:szCs w:val="20"/>
          <w:color w:val="auto"/>
        </w:rPr>
      </w:pPr>
    </w:p>
    <w:tbl>
      <w:tblPr>
        <w:tblLayout w:type="fixed"/>
        <w:tblInd w:w="0" w:type="dxa"/>
        <w:tblCellMar>
          <w:top w:w="0" w:type="dxa"/>
          <w:left w:w="0" w:type="dxa"/>
          <w:bottom w:w="0" w:type="dxa"/>
          <w:right w:w="0" w:type="dxa"/>
        </w:tblCellMar>
      </w:tblPr>
      <w:tr>
        <w:trPr>
          <w:trHeight w:val="192"/>
        </w:trPr>
        <w:tc>
          <w:tcPr>
            <w:tcW w:w="1980" w:type="dxa"/>
            <w:vAlign w:val="bottom"/>
          </w:tcPr>
          <w:p>
            <w:pPr>
              <w:spacing w:after="0"/>
              <w:rPr>
                <w:sz w:val="16"/>
                <w:szCs w:val="16"/>
                <w:color w:val="auto"/>
              </w:rPr>
            </w:pPr>
          </w:p>
        </w:tc>
        <w:tc>
          <w:tcPr>
            <w:tcW w:w="7160" w:type="dxa"/>
            <w:vAlign w:val="bottom"/>
          </w:tcPr>
          <w:p>
            <w:pPr>
              <w:spacing w:after="0"/>
              <w:rPr>
                <w:sz w:val="16"/>
                <w:szCs w:val="16"/>
                <w:color w:val="auto"/>
              </w:rPr>
            </w:pP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Als u na 1</w:t>
            </w:r>
          </w:p>
        </w:tc>
      </w:tr>
      <w:tr>
        <w:trPr>
          <w:trHeight w:val="176"/>
        </w:trPr>
        <w:tc>
          <w:tcPr>
            <w:tcW w:w="9140" w:type="dxa"/>
            <w:vAlign w:val="bottom"/>
            <w:tcBorders>
              <w:bottom w:val="single" w:sz="8" w:color="auto"/>
            </w:tcBorders>
            <w:gridSpan w:val="2"/>
          </w:tcPr>
          <w:p>
            <w:pPr xmlns:w="http://schemas.openxmlformats.org/wordprocessingml/2006/main">
              <w:ind w:left="4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Eenmalige kosten bij binnenkomst of vertrek</w:t>
            </w:r>
          </w:p>
        </w:tc>
        <w:tc>
          <w:tcPr>
            <w:tcW w:w="1660" w:type="dxa"/>
            <w:vAlign w:val="bottom"/>
            <w:tcBorders>
              <w:bottom w:val="single" w:sz="8" w:color="auto"/>
            </w:tcBorders>
          </w:tcPr>
          <w:p>
            <w:pPr xmlns:w="http://schemas.openxmlformats.org/wordprocessingml/2006/main">
              <w:ind w:left="6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jaar</w:t>
            </w:r>
          </w:p>
        </w:tc>
      </w:tr>
      <w:tr>
        <w:trPr>
          <w:trHeight w:val="187"/>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Toegangskosten</w:t>
            </w:r>
          </w:p>
        </w:tc>
        <w:tc>
          <w:tcPr>
            <w:tcW w:w="7160" w:type="dxa"/>
            <w:vAlign w:val="bottom"/>
            <w:tcBorders>
              <w:bottom w:val="single" w:sz="8" w:color="auto"/>
            </w:tcBorders>
          </w:tcPr>
          <w:p>
            <w:pPr xmlns:w="http://schemas.openxmlformats.org/wordprocessingml/2006/main">
              <w:ind w:left="220"/>
              <w:spacing w:after="0" w:line="187" w:lineRule="exact"/>
              <w:rPr>
                <w:sz w:val="20"/>
                <w:szCs w:val="20"/>
                <w:color w:val="auto"/>
              </w:rPr>
            </w:pPr>
            <w:r>
              <w:rPr xmlns:w="http://schemas.openxmlformats.org/wordprocessingml/2006/main">
                <w:rFonts w:ascii="Arial" w:cs="Arial" w:eastAsia="Arial" w:hAnsi="Arial"/>
                <w:sz w:val="14"/>
                <w:szCs w:val="14"/>
                <w:color w:val="auto"/>
              </w:rPr>
              <w:t xml:space="preserve">Wij rekenen geen entree.</w:t>
            </w:r>
            <w:r>
              <w:rPr xmlns:w="http://schemas.openxmlformats.org/wordprocessingml/2006/main">
                <w:rFonts w:ascii="Arial" w:cs="Arial" w:eastAsia="Arial" w:hAnsi="Arial"/>
                <w:sz w:val="21"/>
                <w:szCs w:val="21"/>
                <w:color w:val="auto"/>
                <w:vertAlign w:val="superscript"/>
              </w:rPr>
              <w:t xml:space="preserve">1</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r>
        <w:trPr>
          <w:trHeight w:val="177"/>
        </w:trPr>
        <w:tc>
          <w:tcPr>
            <w:tcW w:w="198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Exitkosten</w:t>
            </w:r>
          </w:p>
        </w:tc>
        <w:tc>
          <w:tcPr>
            <w:tcW w:w="7160" w:type="dxa"/>
            <w:vAlign w:val="bottom"/>
          </w:tcPr>
          <w:p>
            <w:pPr xmlns:w="http://schemas.openxmlformats.org/wordprocessingml/2006/main">
              <w:ind w:left="220"/>
              <w:spacing w:after="0" w:line="177" w:lineRule="exact"/>
              <w:rPr>
                <w:sz w:val="20"/>
                <w:szCs w:val="20"/>
                <w:color w:val="auto"/>
              </w:rPr>
            </w:pPr>
            <w:r>
              <w:rPr xmlns:w="http://schemas.openxmlformats.org/wordprocessingml/2006/main">
                <w:rFonts w:ascii="Arial" w:cs="Arial" w:eastAsia="Arial" w:hAnsi="Arial"/>
                <w:sz w:val="14"/>
                <w:szCs w:val="14"/>
                <w:color w:val="auto"/>
              </w:rPr>
              <w:t xml:space="preserve">Wij brengen geen exitkosten in rekening.</w:t>
            </w:r>
            <w:r>
              <w:rPr xmlns:w="http://schemas.openxmlformats.org/wordprocessingml/2006/main">
                <w:rFonts w:ascii="Arial" w:cs="Arial" w:eastAsia="Arial" w:hAnsi="Arial"/>
                <w:sz w:val="20"/>
                <w:szCs w:val="20"/>
                <w:color w:val="auto"/>
                <w:vertAlign w:val="superscript"/>
              </w:rPr>
              <w:t xml:space="preserve">1</w:t>
            </w:r>
          </w:p>
        </w:tc>
        <w:tc>
          <w:tcPr>
            <w:tcW w:w="1660" w:type="dxa"/>
            <w:vAlign w:val="bottom"/>
          </w:tcPr>
          <w:p>
            <w:pPr xmlns:w="http://schemas.openxmlformats.org/wordprocessingml/2006/main">
              <w:ind w:left="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w:t>
            </w: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Lopende kosten die elk jaar worden gemaakt</w:t>
            </w:r>
          </w:p>
        </w:tc>
        <w:tc>
          <w:tcPr>
            <w:tcW w:w="1660" w:type="dxa"/>
            <w:vAlign w:val="bottom"/>
            <w:shd w:val="clear" w:color="auto" w:fill="000000"/>
          </w:tcPr>
          <w:p>
            <w:pPr>
              <w:spacing w:after="0"/>
              <w:rPr>
                <w:sz w:val="17"/>
                <w:szCs w:val="17"/>
                <w:color w:val="auto"/>
              </w:rPr>
            </w:pPr>
          </w:p>
        </w:tc>
      </w:tr>
      <w:tr>
        <w:trPr>
          <w:trHeight w:val="209"/>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Beheerskosten en</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0,65% van de waarde van uw investering per jaar.</w:t>
            </w:r>
            <w:r>
              <w:rPr xmlns:w="http://schemas.openxmlformats.org/wordprocessingml/2006/main">
                <w:rFonts w:ascii="Arial" w:cs="Arial" w:eastAsia="Arial" w:hAnsi="Arial"/>
                <w:sz w:val="16"/>
                <w:szCs w:val="16"/>
                <w:color w:val="auto"/>
              </w:rPr>
              <w:t xml:space="preserve"> Dit is gebaseerd op een combinatie van</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65 USD</w:t>
            </w:r>
          </w:p>
        </w:tc>
      </w:tr>
      <w:tr>
        <w:trPr>
          <w:trHeight w:val="192"/>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andere administratieve of</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en gegevens over de werkelijke kosten over het afgelopen jaar.</w:t>
            </w:r>
            <w:r>
              <w:rPr xmlns:w="http://schemas.openxmlformats.org/wordprocessingml/2006/main">
                <w:rFonts w:ascii="Arial" w:cs="Arial" w:eastAsia="Arial" w:hAnsi="Arial"/>
                <w:sz w:val="16"/>
                <w:szCs w:val="16"/>
                <w:color w:val="auto"/>
              </w:rPr>
              <w:t xml:space="preserve"> Alle onderliggende productkosten zijn hier inbegrepen</w:t>
            </w:r>
          </w:p>
        </w:tc>
        <w:tc>
          <w:tcPr>
            <w:tcW w:w="1660" w:type="dxa"/>
            <w:vAlign w:val="bottom"/>
          </w:tcPr>
          <w:p>
            <w:pPr>
              <w:spacing w:after="0"/>
              <w:rPr>
                <w:sz w:val="16"/>
                <w:szCs w:val="16"/>
                <w:color w:val="auto"/>
              </w:rPr>
            </w:pPr>
          </w:p>
        </w:tc>
      </w:tr>
      <w:tr>
        <w:trPr>
          <w:trHeight w:val="190"/>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bedrijfskosten</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met uitzondering van transactiekosten die hieronder onder "Transactie" zouden worden opgenomen</w:t>
            </w:r>
          </w:p>
        </w:tc>
        <w:tc>
          <w:tcPr>
            <w:tcW w:w="1660" w:type="dxa"/>
            <w:vAlign w:val="bottom"/>
          </w:tcPr>
          <w:p>
            <w:pPr>
              <w:spacing w:after="0"/>
              <w:rPr>
                <w:sz w:val="16"/>
                <w:szCs w:val="16"/>
                <w:color w:val="auto"/>
              </w:rPr>
            </w:pPr>
          </w:p>
        </w:tc>
      </w:tr>
      <w:tr>
        <w:trPr>
          <w:trHeight w:val="176"/>
        </w:trPr>
        <w:tc>
          <w:tcPr>
            <w:tcW w:w="1980" w:type="dxa"/>
            <w:vAlign w:val="bottom"/>
            <w:tcBorders>
              <w:bottom w:val="single" w:sz="8" w:color="auto"/>
            </w:tcBorders>
          </w:tcPr>
          <w:p>
            <w:pPr>
              <w:spacing w:after="0"/>
              <w:rPr>
                <w:sz w:val="15"/>
                <w:szCs w:val="15"/>
                <w:color w:val="auto"/>
              </w:rPr>
            </w:pPr>
          </w:p>
        </w:tc>
        <w:tc>
          <w:tcPr>
            <w:tcW w:w="7160" w:type="dxa"/>
            <w:vAlign w:val="bottom"/>
            <w:tcBorders>
              <w:bottom w:val="single" w:sz="8" w:color="auto"/>
            </w:tcBorders>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kosten".</w:t>
            </w:r>
          </w:p>
        </w:tc>
        <w:tc>
          <w:tcPr>
            <w:tcW w:w="1660" w:type="dxa"/>
            <w:vAlign w:val="bottom"/>
            <w:tcBorders>
              <w:bottom w:val="single" w:sz="8" w:color="auto"/>
            </w:tcBorders>
          </w:tcPr>
          <w:p>
            <w:pPr>
              <w:spacing w:after="0"/>
              <w:rPr>
                <w:sz w:val="15"/>
                <w:szCs w:val="15"/>
                <w:color w:val="auto"/>
              </w:rPr>
            </w:pPr>
          </w:p>
        </w:tc>
      </w:tr>
      <w:tr>
        <w:trPr>
          <w:trHeight w:val="194"/>
        </w:trPr>
        <w:tc>
          <w:tcPr>
            <w:tcW w:w="198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Transactiekosten</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0,07% van de waarde van uw investering per jaar.</w:t>
            </w:r>
            <w:r>
              <w:rPr xmlns:w="http://schemas.openxmlformats.org/wordprocessingml/2006/main">
                <w:rFonts w:ascii="Arial" w:cs="Arial" w:eastAsia="Arial" w:hAnsi="Arial"/>
                <w:sz w:val="16"/>
                <w:szCs w:val="16"/>
                <w:color w:val="auto"/>
              </w:rPr>
              <w:t xml:space="preserve"> Dit is een schatting van de gemaakte kosten</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7 USD</w:t>
            </w:r>
          </w:p>
        </w:tc>
      </w:tr>
      <w:tr>
        <w:trPr>
          <w:trHeight w:val="190"/>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wanneer we de onderliggende beleggingen voor het product kopen en verkopen.</w:t>
            </w:r>
            <w:r>
              <w:rPr xmlns:w="http://schemas.openxmlformats.org/wordprocessingml/2006/main">
                <w:rFonts w:ascii="Arial" w:cs="Arial" w:eastAsia="Arial" w:hAnsi="Arial"/>
                <w:sz w:val="16"/>
                <w:szCs w:val="16"/>
                <w:color w:val="auto"/>
              </w:rPr>
              <w:t xml:space="preserve"> Het werkelijke bedrag zal</w:t>
            </w:r>
          </w:p>
        </w:tc>
        <w:tc>
          <w:tcPr>
            <w:tcW w:w="1660" w:type="dxa"/>
            <w:vAlign w:val="bottom"/>
          </w:tcPr>
          <w:p>
            <w:pPr>
              <w:spacing w:after="0"/>
              <w:rPr>
                <w:sz w:val="16"/>
                <w:szCs w:val="16"/>
                <w:color w:val="auto"/>
              </w:rPr>
            </w:pPr>
          </w:p>
        </w:tc>
      </w:tr>
      <w:tr>
        <w:trPr>
          <w:trHeight w:val="176"/>
        </w:trPr>
        <w:tc>
          <w:tcPr>
            <w:tcW w:w="1980" w:type="dxa"/>
            <w:vAlign w:val="bottom"/>
          </w:tcPr>
          <w:p>
            <w:pPr>
              <w:spacing w:after="0"/>
              <w:rPr>
                <w:sz w:val="15"/>
                <w:szCs w:val="15"/>
                <w:color w:val="auto"/>
              </w:rPr>
            </w:pPr>
          </w:p>
        </w:tc>
        <w:tc>
          <w:tcPr>
            <w:tcW w:w="7160" w:type="dxa"/>
            <w:vAlign w:val="bottom"/>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Dit is afhankelijk van hoeveel we kopen en verkopen.</w:t>
            </w:r>
          </w:p>
        </w:tc>
        <w:tc>
          <w:tcPr>
            <w:tcW w:w="1660" w:type="dxa"/>
            <w:vAlign w:val="bottom"/>
          </w:tcPr>
          <w:p>
            <w:pPr>
              <w:spacing w:after="0"/>
              <w:rPr>
                <w:sz w:val="15"/>
                <w:szCs w:val="15"/>
                <w:color w:val="auto"/>
              </w:rPr>
            </w:pP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Incidentele kosten die onder specifieke voorwaarden worden gemaakt</w:t>
            </w:r>
          </w:p>
        </w:tc>
        <w:tc>
          <w:tcPr>
            <w:tcW w:w="1660" w:type="dxa"/>
            <w:vAlign w:val="bottom"/>
            <w:shd w:val="clear" w:color="auto" w:fill="000000"/>
          </w:tcPr>
          <w:p>
            <w:pPr>
              <w:spacing w:after="0"/>
              <w:rPr>
                <w:sz w:val="17"/>
                <w:szCs w:val="17"/>
                <w:color w:val="auto"/>
              </w:rPr>
            </w:pPr>
          </w:p>
        </w:tc>
      </w:tr>
      <w:tr>
        <w:trPr>
          <w:trHeight w:val="192"/>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Prestatievergoedingen</w:t>
            </w:r>
          </w:p>
        </w:tc>
        <w:tc>
          <w:tcPr>
            <w:tcW w:w="716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Er zijn geen prestatiekosten voor dit product.</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bl>
    <w:p>
      <w:pPr>
        <w:spacing w:after="0" w:line="13" w:lineRule="exact"/>
        <w:rPr>
          <w:sz w:val="20"/>
          <w:szCs w:val="20"/>
          <w:color w:val="auto"/>
        </w:rPr>
      </w:pPr>
    </w:p>
    <w:p>
      <w:pPr xmlns:w="http://schemas.openxmlformats.org/wordprocessingml/2006/main">
        <w:jc w:val="both"/>
        <w:ind w:left="20" w:right="40"/>
        <w:spacing w:after="0" w:line="217" w:lineRule="auto"/>
        <w:rPr>
          <w:sz w:val="20"/>
          <w:szCs w:val="20"/>
          <w:color w:val="auto"/>
        </w:rPr>
      </w:pPr>
      <w:r>
        <w:rPr xmlns:w="http://schemas.openxmlformats.org/wordprocessingml/2006/main">
          <w:rFonts w:ascii="Arial" w:cs="Arial" w:eastAsia="Arial" w:hAnsi="Arial"/>
          <w:sz w:val="24"/>
          <w:szCs w:val="24"/>
          <w:color w:val="auto"/>
          <w:vertAlign w:val="superscript"/>
        </w:rPr>
        <w:t xml:space="preserve">1</w:t>
      </w: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via effectenbeurzen handelen, betalen vergoedingen die door effectenmakelaars in rekening worden gebracht.</w:t>
      </w:r>
      <w:r>
        <w:rPr xmlns:w="http://schemas.openxmlformats.org/wordprocessingml/2006/main">
          <w:rFonts w:ascii="Arial" w:cs="Arial" w:eastAsia="Arial" w:hAnsi="Arial"/>
          <w:sz w:val="16"/>
          <w:szCs w:val="16"/>
          <w:color w:val="auto"/>
        </w:rPr>
        <w:t xml:space="preserve"> Dergelijke kosten kunnen worden verkregen op beurzen waar de aandelen worden genoteerd en verhandeld, of van effectenmakelaars.</w:t>
      </w:r>
      <w:r>
        <w:rPr xmlns:w="http://schemas.openxmlformats.org/wordprocessingml/2006/main">
          <w:rFonts w:ascii="Arial" w:cs="Arial" w:eastAsia="Arial" w:hAnsi="Arial"/>
          <w:sz w:val="16"/>
          <w:szCs w:val="16"/>
          <w:color w:val="auto"/>
        </w:rPr>
        <w:t xml:space="preserve"> Gemachtigde deelnemers die rechtstreeks met het Fonds of de Beheermaatschappij te maken hebben, zullen de daarmee verband houdende transactiekosten betalen.</w:t>
      </w:r>
    </w:p>
    <w:p>
      <w:pPr>
        <w:spacing w:after="0" w:line="3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lang moet ik het vasthouden en kan ik vroeg geld afhalen?</w:t>
      </w:r>
      <w:r>
        <w:rPr xmlns:w="http://schemas.openxmlformats.org/wordprocessingml/2006/main">
          <w:rFonts w:ascii="Arial" w:cs="Arial" w:eastAsia="Arial" w:hAnsi="Arial"/>
          <w:sz w:val="18"/>
          <w:szCs w:val="18"/>
          <w:b w:val="1"/>
          <w:bCs w:val="1"/>
          <w:color w:val="auto"/>
          <w:shd w:val="clear" w:color="auto" w:fill="72CA33"/>
        </w:rPr>
        <w:t xml:space="preserve"> Aanbevolen bedrijfsperiode: 5 jaar</w:t>
      </w:r>
    </w:p>
    <w:p>
      <w:pPr>
        <w:spacing w:after="0" w:line="28" w:lineRule="exact"/>
        <w:rPr>
          <w:sz w:val="20"/>
          <w:szCs w:val="20"/>
          <w:color w:val="auto"/>
        </w:rPr>
      </w:pPr>
    </w:p>
    <w:p>
      <w:pPr xmlns:w="http://schemas.openxmlformats.org/wordprocessingml/2006/main">
        <w:jc w:val="both"/>
        <w:ind w:left="2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De aanbevolen aanhoudingsperiode (RHP) is berekend in overeenstemming met de beleggingsstrategie van het Fonds en het tijdsbestek waarbinnen het naar verwachting mogelijk zal zijn de beleggingsdoelstelling van het Fonds te verwezenlijken.</w:t>
      </w:r>
      <w:r>
        <w:rPr xmlns:w="http://schemas.openxmlformats.org/wordprocessingml/2006/main">
          <w:rFonts w:ascii="Arial" w:cs="Arial" w:eastAsia="Arial" w:hAnsi="Arial"/>
          <w:sz w:val="16"/>
          <w:szCs w:val="16"/>
          <w:color w:val="auto"/>
        </w:rPr>
        <w:t xml:space="preserve"> Elke investering moet worden afgewogen tegen uw specifieke investeringsbehoeften en risicobereidheid.</w:t>
      </w:r>
      <w:r>
        <w:rPr xmlns:w="http://schemas.openxmlformats.org/wordprocessingml/2006/main">
          <w:rFonts w:ascii="Arial" w:cs="Arial" w:eastAsia="Arial" w:hAnsi="Arial"/>
          <w:sz w:val="16"/>
          <w:szCs w:val="16"/>
          <w:color w:val="auto"/>
        </w:rPr>
        <w:t xml:space="preserve"> BlackRock heeft de geschiktheid of geschiktheid van deze investering voor uw persoonlijke omstandigheden niet overwogen.</w:t>
      </w:r>
      <w:r>
        <w:rPr xmlns:w="http://schemas.openxmlformats.org/wordprocessingml/2006/main">
          <w:rFonts w:ascii="Arial" w:cs="Arial" w:eastAsia="Arial" w:hAnsi="Arial"/>
          <w:sz w:val="16"/>
          <w:szCs w:val="16"/>
          <w:color w:val="auto"/>
        </w:rPr>
        <w:t xml:space="preserve"> Als u twijfelt over de geschiktheid van het Fonds voor uw behoeften, dient u passend professioneel advies in te winnen.</w:t>
      </w:r>
      <w:r>
        <w:rPr xmlns:w="http://schemas.openxmlformats.org/wordprocessingml/2006/main">
          <w:rFonts w:ascii="Arial" w:cs="Arial" w:eastAsia="Arial" w:hAnsi="Arial"/>
          <w:sz w:val="16"/>
          <w:szCs w:val="16"/>
          <w:color w:val="auto"/>
        </w:rPr>
        <w:t xml:space="preserve"> Details van de handelsfrequentie zijn te vinden onder "Wat is dit product?".</w:t>
      </w:r>
      <w:r>
        <w:rPr xmlns:w="http://schemas.openxmlformats.org/wordprocessingml/2006/main">
          <w:rFonts w:ascii="Arial" w:cs="Arial" w:eastAsia="Arial" w:hAnsi="Arial"/>
          <w:sz w:val="16"/>
          <w:szCs w:val="16"/>
          <w:color w:val="auto"/>
        </w:rPr>
        <w:t xml:space="preserve"> U kunt minder ontvangen dan verwacht als u eerder contant geld ontvangt dan de RHP.</w:t>
      </w:r>
      <w:r>
        <w:rPr xmlns:w="http://schemas.openxmlformats.org/wordprocessingml/2006/main">
          <w:rFonts w:ascii="Arial" w:cs="Arial" w:eastAsia="Arial" w:hAnsi="Arial"/>
          <w:sz w:val="16"/>
          <w:szCs w:val="16"/>
          <w:color w:val="auto"/>
        </w:rPr>
        <w:t xml:space="preserve"> Het RHP is een schatting en mag niet worden beschouwd als een garantie of een indicatie van toekomstige prestaties, rendement of risiconiveaus.</w:t>
      </w:r>
      <w:r>
        <w:rPr xmlns:w="http://schemas.openxmlformats.org/wordprocessingml/2006/main">
          <w:rFonts w:ascii="Arial" w:cs="Arial" w:eastAsia="Arial" w:hAnsi="Arial"/>
          <w:sz w:val="16"/>
          <w:szCs w:val="16"/>
          <w:color w:val="auto"/>
        </w:rPr>
        <w:t xml:space="preserve"> Zie de sectie "Wat zijn de kosten?" voor meer informatie over eventuele uitstapkosten.</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Hoe kan ik klagen?</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Als u niet helemaal tevreden bent met een aspect van de service die u hebt ontvangen en u wilt een klacht indienen, zijn details van onze klachtenbehandeling beschikbaar op www.blackrock.com/uk/individual/about-blackrock/contact-us.</w:t>
      </w:r>
      <w:r>
        <w:rPr xmlns:w="http://schemas.openxmlformats.org/wordprocessingml/2006/main">
          <w:rFonts w:ascii="Arial" w:cs="Arial" w:eastAsia="Arial" w:hAnsi="Arial"/>
          <w:sz w:val="16"/>
          <w:szCs w:val="16"/>
          <w:color w:val="auto"/>
        </w:rPr>
        <w:t xml:space="preserve"> Daarnaast kunt u ook schrijven naar het Investor Services Team, op het hoofdkantoor van BlackRock in het Verenigd Koninkrijk, 12 Throgmorton Avenue, Londen, EC2N 2DL of een e-mail sturen naar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Overige relevante informatie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De meest recente versie van dit document, 10 jaar (en) van de prestaties van het Fonds in het verleden, het vorige prestatiescenario van het Fonds, het laatste jaarverslag en halfjaarlijks verslag en alle aanvullende informatie die aan aandeelhouders is verstrekt, kan gratis worden verkregen, in het Engels, via www.blackrock.com of door het Investor Services Team te bellen op +353 1 612 3394 of via uw makelaar, financieel adviseur of distributeur.</w:t>
      </w:r>
    </w:p>
    <w:p>
      <w:pPr>
        <w:spacing w:after="0" w:line="1"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De benchmark(s) waarnaar hierin wordt verwezen, zijn het intellectuele eigendom van de indexaanbieder(s).</w:t>
      </w:r>
      <w:r>
        <w:rPr xmlns:w="http://schemas.openxmlformats.org/wordprocessingml/2006/main">
          <w:rFonts w:ascii="Arial" w:cs="Arial" w:eastAsia="Arial" w:hAnsi="Arial"/>
          <w:sz w:val="16"/>
          <w:szCs w:val="16"/>
          <w:color w:val="auto"/>
        </w:rPr>
        <w:t xml:space="preserve"> Het product wordt niet gesponsord of onderschreven door de indexaanbieder(s).</w:t>
      </w:r>
      <w:r>
        <w:rPr xmlns:w="http://schemas.openxmlformats.org/wordprocessingml/2006/main">
          <w:rFonts w:ascii="Arial" w:cs="Arial" w:eastAsia="Arial" w:hAnsi="Arial"/>
          <w:sz w:val="16"/>
          <w:szCs w:val="16"/>
          <w:color w:val="auto"/>
        </w:rPr>
        <w:t xml:space="preserve"> Raadpleeg het productprospectus en/of www.blackrock.com voor de volledige disclaimer(s).</w:t>
      </w:r>
    </w:p>
    <w:p>
      <w:pPr xmlns:w="http://schemas.openxmlformats.org/wordprocessingml/2006/main">
        <w:jc w:val="both"/>
        <w:ind w:left="20" w:right="40"/>
        <w:spacing w:after="0" w:line="260" w:lineRule="auto"/>
        <w:rPr>
          <w:sz w:val="20"/>
          <w:szCs w:val="20"/>
          <w:color w:val="auto"/>
        </w:rPr>
      </w:pPr>
      <w:r>
        <w:rPr xmlns:w="http://schemas.openxmlformats.org/wordprocessingml/2006/main">
          <w:rFonts w:ascii="Arial" w:cs="Arial" w:eastAsia="Arial" w:hAnsi="Arial"/>
          <w:sz w:val="16"/>
          <w:szCs w:val="16"/>
          <w:color w:val="auto"/>
        </w:rPr>
        <w:t xml:space="preserve">Het Beloningsbeleid van de Beheermaatschappij, waarin wordt beschreven hoe de beloning en de voordelen worden bepaald en toegekend, en de bijbehorende governanceregelingen, is beschikbaar op www.blackrock.com/Remunerationpolicy of op verzoek van de statutaire zetel van de Beheerder.</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7"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21A5902"/>
    <w:multiLevelType w:val="hybridMultilevel"/>
    <w:lvl w:ilvl="0">
      <w:lvlJc w:val="left"/>
      <w:lvlText w:val="*"/>
      <w:numFmt w:val="bullet"/>
      <w:start w:val="1"/>
    </w:lvl>
  </w:abstractNum>
  <w:abstractNum w:abstractNumId="1">
    <w:nsid w:val="62B87F91"/>
    <w:multiLevelType w:val="hybridMultilevel"/>
    <w:lvl w:ilvl="0">
      <w:lvlJc w:val="left"/>
      <w:lvlText w:val="**"/>
      <w:numFmt w:val="bullet"/>
      <w:start w:val="1"/>
    </w:lvl>
  </w:abstractNum>
  <w:abstractNum w:abstractNumId="2">
    <w:nsid w:val="48FC6CD3"/>
    <w:multiLevelType w:val="hybridMultilevel"/>
    <w:lvl w:ilvl="0">
      <w:lvlJc w:val="left"/>
      <w:lvlText w:val="***"/>
      <w:numFmt w:val="bullet"/>
      <w:start w:val="1"/>
    </w:lvl>
  </w:abstractNum>
  <w:abstractNum w:abstractNumId="3">
    <w:nsid w:val="4C4330DC"/>
    <w:multiLevelType w:val="hybridMultilevel"/>
    <w:lvl w:ilvl="0">
      <w:lvlJc w:val="left"/>
      <w:lvlText w:val="****"/>
      <w:numFmt w:val="bullet"/>
      <w:start w:val="1"/>
    </w:lvl>
  </w:abstractNum>
  <w:abstractNum w:abstractNumId="4">
    <w:nsid w:val="4629CF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pn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jpeg"/><Relationship Id="rId34" Type="http://schemas.openxmlformats.org/officeDocument/2006/relationships/image" Target="media/image23.jpeg"/><Relationship Id="rId35" Type="http://schemas.openxmlformats.org/officeDocument/2006/relationships/image" Target="media/image24.jpeg"/><Relationship Id="rId36" Type="http://schemas.openxmlformats.org/officeDocument/2006/relationships/image" Target="media/image25.jpeg"/><Relationship Id="rId37" Type="http://schemas.openxmlformats.org/officeDocument/2006/relationships/image" Target="media/image26.jpeg"/><Relationship Id="rId38" Type="http://schemas.openxmlformats.org/officeDocument/2006/relationships/image" Target="media/image27.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2024-06-24T09:52:43Z</dcterms:created>
  <dcterms:modified xsi:type="dcterms:W3CDTF">2024-06-24T09:52:43Z</dcterms:modified>
</cp:coreProperties>
</file>