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44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5084445</wp:posOffset>
            </wp:positionH>
            <wp:positionV relativeFrom="page">
              <wp:posOffset>472440</wp:posOffset>
            </wp:positionV>
            <wp:extent cx="2116455" cy="4673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color w:val="auto"/>
        </w:rPr>
        <w:t xml:space="preserve">Informazioni chiave per gli investitori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30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Questo documento fornisce informazioni chiave per gli investitori su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Non è materiale di marketing.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Le informazioni sono richieste dalla legge per aiutarti a comprendere la natura e i rischi dell'investimento in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Si consiglia di leggerlo in modo da poter prendere una decisione informata sull'opportunità di investire.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64135</wp:posOffset>
                </wp:positionV>
                <wp:extent cx="7098665" cy="58420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8665" cy="584200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-9.9499pt;margin-top:5.05pt;width:558.95pt;height:4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2E2E2" stroked="f"/>
            </w:pict>
          </mc:Fallback>
        </mc:AlternateContent>
      </w:r>
    </w:p>
    <w:p>
      <w:pPr>
        <w:sectPr>
          <w:pgSz w:w="11900" w:h="16884" w:orient="portrait"/>
          <w:cols w:equalWidth="0" w:num="1">
            <w:col w:w="10640"/>
          </w:cols>
          <w:pgMar w:left="560" w:top="969" w:right="700" w:bottom="0" w:gutter="0" w:footer="0" w:header="0"/>
        </w:sectPr>
      </w:pPr>
    </w:p>
    <w:p>
      <w:pPr>
        <w:spacing w:after="0" w:line="15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520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231F20"/>
        </w:rPr>
        <w:t xml:space="preserve">Vanguard FTSE All-World UCITS ETF (il "Fondo")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231F20"/>
        </w:rPr>
        <w:t xml:space="preserve">Un sotto-fondo di Vanguard Funds PLC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(USD) Distribuzione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ISIN: IE00B3RBWM25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Manager: Vanguard Group (Ireland) Limited ("VGIL")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267335</wp:posOffset>
                </wp:positionV>
                <wp:extent cx="684530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21.05pt" to="267pt,21.05pt" o:allowincell="f" strokecolor="#231F20" strokeweight="0.4pt"/>
            </w:pict>
          </mc:Fallback>
        </mc:AlternateConten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sectPr>
          <w:pgSz w:w="11900" w:h="16884" w:orient="portrait"/>
          <w:cols w:equalWidth="0" w:num="2">
            <w:col w:w="4720" w:space="720"/>
            <w:col w:w="5200"/>
          </w:cols>
          <w:pgMar w:left="560" w:top="969" w:right="700" w:bottom="0" w:gutter="0" w:footer="0" w:header="0"/>
          <w:type w:val="continuous"/>
        </w:sectPr>
      </w:pPr>
    </w:p>
    <w:p>
      <w:pPr>
        <w:spacing w:after="0" w:line="1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Obiettivi e politica di investimento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adotta un approccio di investimento passivo - o indicizzazione - attraverso l'acquisizione fisica di titoli e cerca di tenere traccia dei risultati dell'indice FTSE All-World Index (l'"Indice").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L’Indice comprende i titoli delle grandi e medie imprese nei mercati sviluppati ed emergenti.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cerca di:</w:t>
      </w:r>
    </w:p>
    <w:p>
      <w:pPr>
        <w:spacing w:after="0" w:line="9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140"/>
        <w:spacing w:after="0" w:line="208" w:lineRule="auto"/>
        <w:tabs>
          <w:tab w:leader="none" w:pos="329" w:val="left"/>
        </w:tabs>
        <w:numPr>
          <w:ilvl w:val="1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Monitorare le prestazioni dell'indice investendo in un campione rappresentativo di titoli costituenti l'indice.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140"/>
        <w:spacing w:after="0" w:line="211" w:lineRule="auto"/>
        <w:tabs>
          <w:tab w:leader="none" w:pos="303" w:val="left"/>
        </w:tabs>
        <w:numPr>
          <w:ilvl w:val="1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Rimanere pienamente investito, salvo in condizioni di mercato, politiche o simili straordinarie, nelle quali il Fondo può temporaneamente discostarsi da questa politica di investimento per evitare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può utilizzare derivati per ridurre il rischio o il costo e/o generare entrate o crescita supplementari.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 derivato è un contratto finanziario il cui valore è basato sul valore di un’attività finanziaria (come un’azione, un’obbligazione o una valuta) o su un indice di mercato.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valuta di base del fondo è l'USD.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26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investe in titoli denominati in valute diverse dalla valuta di quotazione.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oscillazioni dei tassi di cambio possono incidere sugli utili degli investimenti.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26" w:lineRule="auto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concedere prestiti garantiti a breve termine dei suoi investimenti a taluni terzi ammissibili.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Questo è utilizzato per generare entrate supplementari e per compensare i costi del Fondo.</w:t>
      </w: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non essere adeguato per investimenti a breve termine.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proventi derivanti dalle azioni dell'ETF saranno di norma versati trimestralmente.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Le azioni ETF sono quotate in una o più borse.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Fatte salve alcune eccezioni indicate nel prospetto, gli investitori che non sono partecipanti autorizzati possono vendere azioni ETF solo attraverso una società che è membro di una borsa valori pertinente in qualsiasi momento in cui tale borsa valori è aperta all'attività.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costi delle operazioni di portafoglio avranno un impatto sulla performance.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 w:line="250" w:lineRule="auto"/>
        <w:tabs>
          <w:tab w:leader="none" w:pos="140" w:val="left"/>
        </w:tabs>
        <w:numPr>
          <w:ilvl w:val="0"/>
          <w:numId w:val="8"/>
        </w:numPr>
        <w:rPr>
          <w:rFonts w:ascii="Arial" w:cs="Arial" w:eastAsia="Arial" w:hAnsi="Arial"/>
          <w:sz w:val="14"/>
          <w:szCs w:val="14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Le azioni del Fondo possono essere acquistate o vendute quotidianamente (salvo in alcuni giorni festivi o festivi e fatte salve alcune restrizioni descritte nel Supplemento) presentando una domanda per iscritto o per telefono.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 Un elenco dei giorni in cui le azioni del Fondo non possono essere acquistate o vendute è disponibile su https://global.vanguard.com/portal/site/loadPDF?country=global&amp;docId=11628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sugli obiettivi e sulla politica di investimento del fondo, nonché sulla relazione limitata con il fornitore dell'indice, si rimanda all'appendice 1 e all'appendice 6 del prospetto Vanguard Funds plc (il "prospetto") sul nostro sito web all'indirizzo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2172970</wp:posOffset>
                </wp:positionV>
                <wp:extent cx="684530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171.1pt" to="267pt,171.1pt" o:allowincell="f" strokecolor="#231F20" strokeweight="0.4pt"/>
            </w:pict>
          </mc:Fallback>
        </mc:AlternateContent>
      </w:r>
    </w:p>
    <w:p>
      <w:pPr>
        <w:spacing w:after="0" w:line="3351" w:lineRule="exact"/>
        <w:rPr>
          <w:sz w:val="24"/>
          <w:szCs w:val="24"/>
          <w:color w:val="auto"/>
        </w:rPr>
      </w:pPr>
    </w:p>
    <w:p>
      <w:pPr>
        <w:sectPr>
          <w:pgSz w:w="11900" w:h="16884" w:orient="portrait"/>
          <w:cols w:equalWidth="0" w:num="2">
            <w:col w:w="5200" w:space="240"/>
            <w:col w:w="5200"/>
          </w:cols>
          <w:pgMar w:left="560" w:top="969" w:right="700" w:bottom="0" w:gutter="0" w:footer="0" w:header="0"/>
          <w:type w:val="continuous"/>
        </w:sectPr>
      </w:pPr>
    </w:p>
    <w:p>
      <w:pPr>
        <w:spacing w:after="0" w:line="1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Profilo di rischio e di rendimento</w:t>
      </w:r>
    </w:p>
    <w:p>
      <w:pPr>
        <w:sectPr>
          <w:pgSz w:w="11900" w:h="16884" w:orient="portrait"/>
          <w:cols w:equalWidth="0" w:num="1">
            <w:col w:w="10640"/>
          </w:cols>
          <w:pgMar w:left="560" w:top="969" w:right="700" w:bottom="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2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ridotto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più elevato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4"/>
        </w:trPr>
        <w:tc>
          <w:tcPr>
            <w:tcW w:w="15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premi inferiori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ricompense più elevate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16"/>
        </w:trPr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390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39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18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740" w:type="dxa"/>
            <w:vAlign w:val="bottom"/>
            <w:shd w:val="clear" w:color="auto" w:fill="231F20"/>
          </w:tcPr>
          <w:p>
            <w:pPr xmlns:w="http://schemas.openxmlformats.org/wordprocessingml/2006/main">
              <w:jc w:val="right"/>
              <w:ind w:right="16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89"/>
              </w:rPr>
              <w:t xml:space="preserve">7</w:t>
            </w:r>
          </w:p>
        </w:tc>
      </w:tr>
      <w:tr>
        <w:trPr>
          <w:trHeight w:val="22"/>
        </w:trPr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shd w:val="clear" w:color="auto" w:fill="231F2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-522605</wp:posOffset>
            </wp:positionV>
            <wp:extent cx="3312160" cy="863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-271145</wp:posOffset>
            </wp:positionV>
            <wp:extent cx="3317240" cy="2819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39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Questo indicatore si basa su dati storici e potrebbe non essere un'indicazione affidabile del futuro profilo di rischio del Fondo.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di rischio indicata non è garantita e può variare nel tempo.</w:t>
      </w:r>
    </w:p>
    <w:p>
      <w:pPr>
        <w:spacing w:after="0" w:line="16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più bassa non significa "senza rischio".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ha un rating pari a 6 a causa della natura dei suoi investimenti, che includono i rischi elencati di seguito.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fattori possono incidere sul valore degli investimenti del Fondo o esporlo a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/>
        <w:spacing w:after="0" w:line="241" w:lineRule="auto"/>
        <w:tabs>
          <w:tab w:leader="none" w:pos="243" w:val="left"/>
        </w:tabs>
        <w:numPr>
          <w:ilvl w:val="0"/>
          <w:numId w:val="11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movimenti giornalieri dei mercati azionari possono incidere sul valore degli strumenti di capitale e dei titoli azionari.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Altri fattori influenti comprendono notizie politiche, economiche, utili aziendali ed eventi aziendali significativi.</w:t>
      </w:r>
    </w:p>
    <w:p>
      <w:pPr xmlns:w="http://schemas.openxmlformats.org/wordprocessingml/2006/main">
        <w:ind w:left="140"/>
        <w:spacing w:after="0" w:line="234" w:lineRule="auto"/>
        <w:tabs>
          <w:tab w:leader="none" w:pos="235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oscillazioni dei tassi di cambio possono influire negativamente sul rendimento dell'investimento.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140"/>
        <w:spacing w:after="0" w:line="221" w:lineRule="auto"/>
        <w:tabs>
          <w:tab w:leader="none" w:pos="220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mercati emergenti sono generalmente più sensibili alle condizioni economiche e politiche rispetto ai mercati sviluppati.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Altri fattori includono un maggiore "rischio di liquidità", restrizioni agli investimenti o ai trasferimenti di attività e mancata/ritardata consegna di titoli o pagamenti al Fondo.</w:t>
      </w:r>
    </w:p>
    <w:p>
      <w:pPr>
        <w:spacing w:after="0" w:line="2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140"/>
        <w:spacing w:after="0" w:line="226" w:lineRule="auto"/>
        <w:tabs>
          <w:tab w:leader="none" w:pos="225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rischio di investimento si concentra in settori, paesi, valute o società specifici.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il Fondo è più sensibile a qualsiasi evento economico, di mercato, politico o normativo localizzato.</w:t>
      </w:r>
    </w:p>
    <w:p>
      <w:pPr xmlns:w="http://schemas.openxmlformats.org/wordprocessingml/2006/main">
        <w:jc w:val="both"/>
        <w:ind w:left="140"/>
        <w:spacing w:after="0" w:line="226" w:lineRule="auto"/>
        <w:tabs>
          <w:tab w:leader="none" w:pos="260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Uso di derivati.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L'uso di derivati potrebbe aumentare o ridurre l'esposizione alle attività sottostanti e comportare maggiori fluttuazioni del valore patrimoniale netto del Fondo.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L'indicatore di rischio e rendimento non tiene conto dei seguenti rischi di investimento nel Fondo:</w:t>
      </w:r>
    </w:p>
    <w:p>
      <w:pPr xmlns:w="http://schemas.openxmlformats.org/wordprocessingml/2006/main">
        <w:jc w:val="both"/>
        <w:ind w:left="1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controparte.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L'insolvenza di un ente che fornisce servizi quali la custodia delle attività o che agisce come controparte di strumenti derivati o di altro tipo può esporre il Fondo a perdite finanziarie.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19" w:lineRule="auto"/>
        <w:tabs>
          <w:tab w:leader="none" w:pos="140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liquidità.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liquidità inferiore significa che non vi sono acquirenti o venditori sufficienti per consentire al Fondo di vendere o acquistare investimenti prontamente, il che potrebbe comportare costi più elevati per il Fondo al momento dell'acquisto o della vendita degli investimenti, o potrebbe significare che il Fondo non è in grado di acquistare o vendere gli investimenti quando lo desidera.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34" w:lineRule="auto"/>
        <w:tabs>
          <w:tab w:leader="none" w:pos="140" w:val="left"/>
        </w:tabs>
        <w:numPr>
          <w:ilvl w:val="0"/>
          <w:numId w:val="1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monitoraggio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Non si prevede che il Fondo segua sempre le prestazioni dell'indice con precisione assoluta.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Tuttavia, il Fondo è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ci si attende che fornisca risultati di investimento che, prima delle spese, corrispondono generalmente al rendimento e al prezzo dell'Indice.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campionamento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Poiché il fondo utilizza una tecnica di campionamento dell'indice mediante la quale viene selezionato un campione rappresentativo di titoli per rappresentare l'indice, vi è il rischio che i titoli selezionati per il fondo non possano, nel complesso, avvicinarsi all'indice completo.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7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sui rischi si rimanda alla sezione "Fattori di rischio" del prospetto sul sito web https://global.vanguard.com</w:t>
      </w:r>
    </w:p>
    <w:p>
      <w:pPr>
        <w:sectPr>
          <w:pgSz w:w="11900" w:h="16884" w:orient="portrait"/>
          <w:cols w:equalWidth="0" w:num="2">
            <w:col w:w="5200" w:space="240"/>
            <w:col w:w="5200"/>
          </w:cols>
          <w:pgMar w:left="560" w:top="969" w:right="70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1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254000</wp:posOffset>
                </wp:positionV>
                <wp:extent cx="684530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pt,20pt" to="567pt,20pt" o:allowincell="f" strokecolor="#231F20" strokeweight="0.4pt">
                <w10:wrap anchorx="page" anchory="page"/>
              </v:line>
            </w:pict>
          </mc:Fallback>
        </mc:AlternateContent>
      </w: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Spese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da lei pagate sono utilizzate per pagare i costi di gestione del Fondo, compresi i costi di marketing e distribuzione.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costi riducono la crescita potenziale dell'investimento.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</w:sectPr>
      </w:pP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una tantum assunti prima o dopo l'investimento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-128270</wp:posOffset>
                </wp:positionV>
                <wp:extent cx="330200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10.0999pt" to="260.9pt,-10.0999pt" o:allowincell="f" strokecolor="#000000" strokeweight="0.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5"/>
        </w:trPr>
        <w:tc>
          <w:tcPr>
            <w:tcW w:w="29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Diritto di ingresso*</w:t>
            </w:r>
          </w:p>
        </w:tc>
        <w:tc>
          <w:tcPr>
            <w:tcW w:w="2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  <w:tr>
        <w:trPr>
          <w:trHeight w:val="225"/>
        </w:trPr>
        <w:tc>
          <w:tcPr>
            <w:tcW w:w="29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Uscita carica*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13335</wp:posOffset>
                </wp:positionV>
                <wp:extent cx="330200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05pt" to="260.9pt,1.05pt" o:allowincell="f" strokecolor="#000000" strokeweight="0.4pt"/>
            </w:pict>
          </mc:Fallback>
        </mc:AlternateConten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59" w:right="40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Questo è il massimo che potrebbe essere tolto dal vostro denaro prima che sia investito / prima che i proventi del vostro investimento sono pagati.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-3810</wp:posOffset>
                </wp:positionV>
                <wp:extent cx="330200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0.2999pt" to="260.9pt,-0.2999pt" o:allowincell="f" strokecolor="#000000" strokeweight="0.4pt"/>
            </w:pict>
          </mc:Fallback>
        </mc:AlternateContent>
      </w: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prelevati dal Fondo su un periodo di un anno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Costi correnti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0,22%</w:t>
            </w:r>
          </w:p>
        </w:tc>
      </w:tr>
      <w:tr>
        <w:trPr>
          <w:trHeight w:val="229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Oneri prelevati dal Fondo a determinate condizioni specifiche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Commissione di esecuzione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Gli investitori che non sono partecipanti autorizzati ("AP") possono dover pagare commissioni a un agente di borsa quando si acquista o si vende in borsa(i).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commissioni sono disponibili direttamente dal tuo agente di borsa e non sono addebitate dal Fondo o da versare al Fondo.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di entrata e di uscita indicate sono cifre massime e in alcuni casi si potrebbe pagare meno.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investitori possono scoprire le spese effettive di ingresso e uscita dal loro distributore e/o consulente.</w:t>
      </w:r>
    </w:p>
    <w:p>
      <w:pPr xmlns:w="http://schemas.openxmlformats.org/wordprocessingml/2006/main">
        <w:jc w:val="both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punti di accesso che trattano direttamente con il fondo pagheranno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Per le creazioni di contante o i rimborsi può essere pagata al Fondo una commissione per le transazioni in contanti pari al massimo al 2% e tutte le transazioni avranno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Gli investitori che non sono AP non pagheranno tali commissioni o costi.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tabs>
          <w:tab w:leader="none" w:pos="97" w:val="left"/>
        </w:tabs>
        <w:numPr>
          <w:ilvl w:val="0"/>
          <w:numId w:val="1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Nel caso di un'ampia sottoscrizione o rimborso da parte di un investitore, quest'ultimo potrebbe dover pagare al fondo un onere aggiuntivo (ad esempio un prelievo anti-diluizione) per coprire i costi di transazione sostenuti.</w:t>
      </w: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L'importo degli oneri correnti si basa sulle spese per l'esercizio chiuso al 31 dicembre 2022.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Questa cifra può variare di anno in anno.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esclusi i costi delle operazioni di portafoglio.</w:t>
      </w: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sulle commissioni, si prega di consultare il prospetto e le sezioni intitolate "Azioni di acquisto", "Azioni di rimborso", "Commissioni e spese" e l'appendice 1 sul nostro sito web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-3429000</wp:posOffset>
                </wp:positionH>
                <wp:positionV relativeFrom="paragraph">
                  <wp:posOffset>85725</wp:posOffset>
                </wp:positionV>
                <wp:extent cx="684530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0pt,6.75pt" to="269pt,6.75pt" o:allowincell="f" strokecolor="#231F20" strokeweight="0.4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940" w:orient="portrait"/>
          <w:cols w:equalWidth="0" w:num="2">
            <w:col w:w="5219" w:space="200"/>
            <w:col w:w="5380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Prestazioni passate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Prestazioni passate: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-112395</wp:posOffset>
            </wp:positionV>
            <wp:extent cx="3619500" cy="213360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1.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Non è un'indicazione affidabile dei risultati futuri.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19" w:hanging="199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2. Comprende gli oneri correnti e il reinvestimento dei proventi.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escluse le tasse di ingresso e di uscita.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3. è stato calcolato in USD.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Due azioni del Fondo sono state emesse per la prima volta nel 2012.</w:t>
      </w:r>
    </w:p>
    <w:p>
      <w:pPr xmlns:w="http://schemas.openxmlformats.org/wordprocessingml/2006/main">
        <w:ind w:left="6159"/>
        <w:spacing w:after="0" w:line="1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Questa classe è stata lanciata nel 2012.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780"/>
        </w:trPr>
        <w:tc>
          <w:tcPr>
            <w:tcW w:w="161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Percentuale (%)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Fondo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Indice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93980</wp:posOffset>
                </wp:positionV>
                <wp:extent cx="684530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7.4pt" to="539.9pt,7.4pt" o:allowincell="f" strokecolor="#231F20" strokeweight="0.4pt"/>
            </w:pict>
          </mc:Fallback>
        </mc:AlternateConten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Informazioni pratiche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Depositario: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Brown Brothers Harriman Trustee Services (Ireland) Limited.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59" w:hanging="139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Documenti, prezzi delle azioni e ulteriori informazioni: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È possibile ottenere copie del prospetto, dell'ultima relazione annuale e semestrale e dei conti di Vanguard Funds plc ("VF") insieme agli ultimi prezzi pubblicati delle azioni e altre informazioni pratiche, da VF c/o Brown Brothers Harriman Fund Administration Services (Ireland) Limited, 30 Herbert Street, Dublin 2, D02 W329, Ireland o dal nostro sito web https://global.vanguard.com.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Informazioni sulla politica di divulgazione del portafoglio del Fondo e sulla pubblicazione dell'iNAV possono essere ottenute all'indirizzo https://global.vanguard.com/portal/site/portal/ucits-documentation.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 documenti sono disponibili gratuitamente in inglese.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Prezzi: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ultimi prezzi pubblicati delle azioni del Fondo sono disponibili anche sul sito web del FT www.ft.com o https://global.vanguard.com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28" w:lineRule="auto"/>
        <w:tabs>
          <w:tab w:leader="none" w:pos="159" w:val="left"/>
        </w:tabs>
        <w:numPr>
          <w:ilvl w:val="0"/>
          <w:numId w:val="1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Imposta: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soggetta alla legislazione fiscale irlandese.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 seconda del paese di residenza, ciò può avere un impatto sulla posizione fiscale personale.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Si consiglia di consultare il proprio consulente fiscale professionale.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Responsabilità: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VGIL può essere ritenuta responsabile solo sulla base di una dichiarazione contenuta nel presente documento che sia fuorviante, imprecisa o incoerente con le parti pertinenti del prospetto per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39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Sotto-fondi: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un fondo d'investimento con una serie di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presente documento descrive un sotto-fondo di VF.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prospetto e le relazioni periodiche sono predisposti per l'intera società.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VF è un fondo ombrello con responsabilità separata tra 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le partecipazioni del Fondo sono mantenute separatamente ai sensi del diritto irlandese dalle partecipazioni di altri sotto-fondi di VF e il vostro investimento nel Fondo non sarà influenzato da eventuali crediti nei confronti di altri sotto-fondi di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2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azioni ETF del Fondo non possono essere scambiate con azioni ETF di altri sotto-fondi di VF, tuttavia i PA possono, con l'approvazione preventiva, cambiare le azioni ETF del Fondo verso una diversa classe di azioni dello stesso Fondo, dove sono disponibili altre classi di azioni.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Informazioni su altre categorie di azioni offerte da VF sono disponibili nel prospetto informativo o sul sito web https://global.vanguard.com.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2"/>
        </w:numPr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b w:val="1"/>
          <w:bCs w:val="1"/>
          <w:color w:val="231F20"/>
        </w:rPr>
        <w:t xml:space="preserve">Politica retributiva: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231F20"/>
        </w:rPr>
        <w:t xml:space="preserve"> i dettagli della politica retributiva di VGIL sono disponibili all'indirizzo https://www.ie.vanguard/content/dam/intl/europe/documents/ch/en/ucits-v-remuneration-policy.pdf</w:t>
      </w:r>
    </w:p>
    <w:p>
      <w:pPr>
        <w:spacing w:after="0" w:line="42" w:lineRule="exact"/>
        <w:rPr>
          <w:rFonts w:ascii="Arial" w:cs="Arial" w:eastAsia="Arial" w:hAnsi="Arial"/>
          <w:sz w:val="13"/>
          <w:szCs w:val="13"/>
          <w:color w:val="231F20"/>
        </w:rPr>
      </w:pPr>
    </w:p>
    <w:p>
      <w:pPr xmlns:w="http://schemas.openxmlformats.org/wordprocessingml/2006/main">
        <w:ind w:left="159"/>
        <w:spacing w:after="0" w:line="222" w:lineRule="auto"/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compresa: a) una descrizione delle modalità di calcolo delle retribuzioni e delle prestazioni; e b) l'identità delle persone responsabili dell'attribuzione delle retribuzioni e</w:t>
      </w:r>
    </w:p>
    <w:p>
      <w:pPr xmlns:w="http://schemas.openxmlformats.org/wordprocessingml/2006/main">
        <w:ind w:left="159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vantaggi.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copia cartacea di tali informazioni può essere ottenuta gratuitamente dalla VGIL al numero 70 di Sir John Rogerson's Quay, Dublin 2, Irlanda.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è autorizzato in Irlanda e regolamentato dalla Central Bank of Ireland (la "Banca centrale").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VGIL è autorizzato in Irlanda e regolamentato dalla Banca centrale.Queste informazioni chiave per gli investitori sono esatte al 17/02/2023.</w:t>
      </w:r>
    </w:p>
    <w:sectPr>
      <w:pgSz w:w="11900" w:h="16940" w:orient="portrait"/>
      <w:cols w:equalWidth="0" w:num="1">
        <w:col w:w="10799"/>
      </w:cols>
      <w:pgMar w:left="541" w:top="477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B919536"/>
    <w:multiLevelType w:val="hybridMultilevel"/>
    <w:lvl w:ilvl="0">
      <w:lvlJc w:val="left"/>
      <w:lvlText w:val="%1"/>
      <w:numFmt w:val="decimal"/>
      <w:start w:val="2"/>
    </w:lvl>
    <w:lvl w:ilvl="1">
      <w:lvlJc w:val="left"/>
      <w:lvlText w:val="%2."/>
      <w:numFmt w:val="decimal"/>
      <w:start w:val="1"/>
    </w:lvl>
  </w:abstractNum>
  <w:abstractNum w:abstractNumId="1">
    <w:nsid w:val="170B7DE9"/>
    <w:multiLevelType w:val="hybridMultilevel"/>
    <w:lvl w:ilvl="0">
      <w:lvlJc w:val="left"/>
      <w:lvlText w:val="%1"/>
      <w:numFmt w:val="decimal"/>
      <w:start w:val="2"/>
    </w:lvl>
  </w:abstractNum>
  <w:abstractNum w:abstractNumId="2">
    <w:nsid w:val="486ACA2C"/>
    <w:multiLevelType w:val="hybridMultilevel"/>
    <w:lvl w:ilvl="0">
      <w:lvlJc w:val="left"/>
      <w:lvlText w:val="%1"/>
      <w:numFmt w:val="decimal"/>
      <w:start w:val="2"/>
    </w:lvl>
  </w:abstractNum>
  <w:abstractNum w:abstractNumId="3">
    <w:nsid w:val="57D87CE9"/>
    <w:multiLevelType w:val="hybridMultilevel"/>
    <w:lvl w:ilvl="0">
      <w:lvlJc w:val="left"/>
      <w:lvlText w:val="%1"/>
      <w:numFmt w:val="decimal"/>
      <w:start w:val="2"/>
    </w:lvl>
  </w:abstractNum>
  <w:abstractNum w:abstractNumId="4">
    <w:nsid w:val="D4FCEE5"/>
    <w:multiLevelType w:val="hybridMultilevel"/>
    <w:lvl w:ilvl="0">
      <w:lvlJc w:val="left"/>
      <w:lvlText w:val="%1"/>
      <w:numFmt w:val="decimal"/>
      <w:start w:val="2"/>
    </w:lvl>
  </w:abstractNum>
  <w:abstractNum w:abstractNumId="5">
    <w:nsid w:val="23A63E09"/>
    <w:multiLevelType w:val="hybridMultilevel"/>
    <w:lvl w:ilvl="0">
      <w:lvlJc w:val="left"/>
      <w:lvlText w:val="%1"/>
      <w:numFmt w:val="decimal"/>
      <w:start w:val="2"/>
    </w:lvl>
  </w:abstractNum>
  <w:abstractNum w:abstractNumId="6">
    <w:nsid w:val="14370BDA"/>
    <w:multiLevelType w:val="hybridMultilevel"/>
    <w:lvl w:ilvl="0">
      <w:lvlJc w:val="left"/>
      <w:lvlText w:val="%1"/>
      <w:numFmt w:val="decimal"/>
      <w:start w:val="2"/>
    </w:lvl>
  </w:abstractNum>
  <w:abstractNum w:abstractNumId="7">
    <w:nsid w:val="C4998D6"/>
    <w:multiLevelType w:val="hybridMultilevel"/>
    <w:lvl w:ilvl="0">
      <w:lvlJc w:val="left"/>
      <w:lvlText w:val="%1"/>
      <w:numFmt w:val="decimal"/>
      <w:start w:val="2"/>
    </w:lvl>
  </w:abstractNum>
  <w:abstractNum w:abstractNumId="8">
    <w:nsid w:val="3D2386F2"/>
    <w:multiLevelType w:val="hybridMultilevel"/>
    <w:lvl w:ilvl="0">
      <w:lvlJc w:val="left"/>
      <w:lvlText w:val="%1"/>
      <w:numFmt w:val="decimal"/>
      <w:start w:val="2"/>
    </w:lvl>
  </w:abstractNum>
  <w:abstractNum w:abstractNumId="9">
    <w:nsid w:val="10F94E9C"/>
    <w:multiLevelType w:val="hybridMultilevel"/>
    <w:lvl w:ilvl="0">
      <w:lvlJc w:val="left"/>
      <w:lvlText w:val="%1"/>
      <w:numFmt w:val="decimal"/>
      <w:start w:val="2"/>
    </w:lvl>
  </w:abstractNum>
  <w:abstractNum w:abstractNumId="10">
    <w:nsid w:val="3CF01E57"/>
    <w:multiLevelType w:val="hybridMultilevel"/>
    <w:lvl w:ilvl="0">
      <w:lvlJc w:val="left"/>
      <w:lvlText w:val="-"/>
      <w:numFmt w:val="bullet"/>
      <w:start w:val="1"/>
    </w:lvl>
  </w:abstractNum>
  <w:abstractNum w:abstractNumId="11">
    <w:nsid w:val="4F3B4451"/>
    <w:multiLevelType w:val="hybridMultilevel"/>
    <w:lvl w:ilvl="0">
      <w:lvlJc w:val="left"/>
      <w:lvlText w:val="%1"/>
      <w:numFmt w:val="decimal"/>
      <w:start w:val="2"/>
    </w:lvl>
  </w:abstractNum>
  <w:abstractNum w:abstractNumId="12">
    <w:nsid w:val="574B9197"/>
    <w:multiLevelType w:val="hybridMultilevel"/>
    <w:lvl w:ilvl="0">
      <w:lvlJc w:val="left"/>
      <w:lvlText w:val="%1"/>
      <w:numFmt w:val="decimal"/>
      <w:start w:val="2"/>
    </w:lvl>
  </w:abstractNum>
  <w:abstractNum w:abstractNumId="13">
    <w:nsid w:val="62B0896B"/>
    <w:multiLevelType w:val="hybridMultilevel"/>
    <w:lvl w:ilvl="0">
      <w:lvlJc w:val="left"/>
      <w:lvlText w:val="*"/>
      <w:numFmt w:val="bullet"/>
      <w:start w:val="1"/>
    </w:lvl>
  </w:abstractNum>
  <w:abstractNum w:abstractNumId="14">
    <w:nsid w:val="79ED1BF8"/>
    <w:multiLevelType w:val="hybridMultilevel"/>
    <w:lvl w:ilvl="0">
      <w:lvlJc w:val="left"/>
      <w:lvlText w:val="%1"/>
      <w:numFmt w:val="decimal"/>
      <w:start w:val="2"/>
    </w:lvl>
  </w:abstractNum>
  <w:abstractNum w:abstractNumId="15">
    <w:nsid w:val="2756A256"/>
    <w:multiLevelType w:val="hybridMultilevel"/>
    <w:lvl w:ilvl="0">
      <w:lvlJc w:val="left"/>
      <w:lvlText w:val="%1"/>
      <w:numFmt w:val="decimal"/>
      <w:start w:val="2"/>
    </w:lvl>
  </w:abstractNum>
  <w:abstractNum w:abstractNumId="16">
    <w:nsid w:val="77F3CCE6"/>
    <w:multiLevelType w:val="hybridMultilevel"/>
    <w:lvl w:ilvl="0">
      <w:lvlJc w:val="left"/>
      <w:lvlText w:val="%1"/>
      <w:numFmt w:val="decimal"/>
      <w:start w:val="2"/>
    </w:lvl>
  </w:abstractNum>
  <w:abstractNum w:abstractNumId="17">
    <w:nsid w:val="5E2A3466"/>
    <w:multiLevelType w:val="hybridMultilevel"/>
    <w:lvl w:ilvl="0">
      <w:lvlJc w:val="left"/>
      <w:lvlText w:val="%1"/>
      <w:numFmt w:val="decimal"/>
      <w:start w:val="2"/>
    </w:lvl>
  </w:abstractNum>
  <w:abstractNum w:abstractNumId="18">
    <w:nsid w:val="3C7B78DE"/>
    <w:multiLevelType w:val="hybridMultilevel"/>
    <w:lvl w:ilvl="0">
      <w:lvlJc w:val="left"/>
      <w:lvlText w:val="%1"/>
      <w:numFmt w:val="decimal"/>
      <w:start w:val="2"/>
    </w:lvl>
  </w:abstractNum>
  <w:abstractNum w:abstractNumId="19">
    <w:nsid w:val="788C1FB3"/>
    <w:multiLevelType w:val="hybridMultilevel"/>
    <w:lvl w:ilvl="0">
      <w:lvlJc w:val="left"/>
      <w:lvlText w:val="%1"/>
      <w:numFmt w:val="decimal"/>
      <w:start w:val="2"/>
    </w:lvl>
  </w:abstractNum>
  <w:abstractNum w:abstractNumId="20">
    <w:nsid w:val="4637A486"/>
    <w:multiLevelType w:val="hybridMultilevel"/>
    <w:lvl w:ilvl="0">
      <w:lvlJc w:val="left"/>
      <w:lvlText w:val="%1"/>
      <w:numFmt w:val="decimal"/>
      <w:start w:val="2"/>
    </w:lvl>
  </w:abstractNum>
  <w:abstractNum w:abstractNumId="21">
    <w:nsid w:val="7BF222B2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jpe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2023-05-01T10:49:39Z</dcterms:created>
  <dcterms:modified xsi:type="dcterms:W3CDTF">2023-05-01T10:49:39Z</dcterms:modified>
</cp:coreProperties>
</file>