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7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5084445</wp:posOffset>
            </wp:positionH>
            <wp:positionV relativeFrom="page">
              <wp:posOffset>472440</wp:posOffset>
            </wp:positionV>
            <wp:extent cx="2116455" cy="4673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46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32"/>
          <w:szCs w:val="32"/>
          <w:color w:val="auto"/>
        </w:rPr>
        <w:t xml:space="preserve">Informazioni chiave per gli investitori</w:t>
      </w:r>
    </w:p>
    <w:p>
      <w:pPr>
        <w:spacing w:after="0" w:line="27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 w:right="380"/>
        <w:spacing w:after="0" w:line="30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Questo documento fornisce informazioni chiave per gli investitori su questo fondo.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Non è materiale di marketing.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Le informazioni sono richieste dalla legge per aiutarti a comprendere la natura e i rischi dell'investimento in questo fondo.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Si consiglia di leggerlo in modo da poter prendere una decisione informata sull'opportunità di investire.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00"/>
        </w:trPr>
        <w:tc>
          <w:tcPr>
            <w:tcW w:w="200" w:type="dxa"/>
            <w:vAlign w:val="bottom"/>
            <w:shd w:val="clear" w:color="auto" w:fill="E2E2E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160" w:type="dxa"/>
            <w:vAlign w:val="bottom"/>
            <w:shd w:val="clear" w:color="auto" w:fill="E2E2E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231F20"/>
              </w:rPr>
              <w:t xml:space="preserve">Vanguard S&amp;P 500 UCITS ETF (il "Fondo")</w:t>
            </w:r>
          </w:p>
        </w:tc>
        <w:tc>
          <w:tcPr>
            <w:tcW w:w="5820" w:type="dxa"/>
            <w:vAlign w:val="bottom"/>
            <w:gridSpan w:val="2"/>
            <w:shd w:val="clear" w:color="auto" w:fill="E2E2E2"/>
          </w:tcPr>
          <w:p>
            <w:pPr xmlns:w="http://schemas.openxmlformats.org/wordprocessingml/2006/main"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231F20"/>
              </w:rPr>
              <w:t xml:space="preserve">(USD) Distribuzione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200" w:type="dxa"/>
            <w:vAlign w:val="bottom"/>
            <w:shd w:val="clear" w:color="auto" w:fill="E2E2E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160" w:type="dxa"/>
            <w:vAlign w:val="bottom"/>
            <w:vMerge w:val="restart"/>
            <w:shd w:val="clear" w:color="auto" w:fill="E2E2E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231F20"/>
              </w:rPr>
              <w:t xml:space="preserve">Un sotto-fondo di Vanguard Funds PLC</w:t>
            </w:r>
          </w:p>
        </w:tc>
        <w:tc>
          <w:tcPr>
            <w:tcW w:w="5820" w:type="dxa"/>
            <w:vAlign w:val="bottom"/>
            <w:gridSpan w:val="2"/>
            <w:shd w:val="clear" w:color="auto" w:fill="E2E2E2"/>
          </w:tcPr>
          <w:p>
            <w:pPr xmlns:w="http://schemas.openxmlformats.org/wordprocessingml/2006/main"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231F20"/>
              </w:rPr>
              <w:t xml:space="preserve">ISIN: IE00B3XXRP09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00" w:type="dxa"/>
            <w:vAlign w:val="bottom"/>
            <w:shd w:val="clear" w:color="auto" w:fill="E2E2E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160" w:type="dxa"/>
            <w:vAlign w:val="bottom"/>
            <w:vMerge w:val="continue"/>
            <w:shd w:val="clear" w:color="auto" w:fill="E2E2E2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20" w:type="dxa"/>
            <w:vAlign w:val="bottom"/>
            <w:gridSpan w:val="2"/>
            <w:vMerge w:val="restart"/>
            <w:shd w:val="clear" w:color="auto" w:fill="E2E2E2"/>
          </w:tcPr>
          <w:p>
            <w:pPr xmlns:w="http://schemas.openxmlformats.org/wordprocessingml/2006/main"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Manager: Vanguard Group (Ireland) Limited ("VGIL")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0" w:type="dxa"/>
            <w:vAlign w:val="bottom"/>
            <w:tcBorders>
              <w:bottom w:val="single" w:sz="8" w:color="E2E2E2"/>
            </w:tcBorders>
            <w:shd w:val="clear" w:color="auto" w:fill="E2E2E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160" w:type="dxa"/>
            <w:vAlign w:val="bottom"/>
            <w:tcBorders>
              <w:bottom w:val="single" w:sz="8" w:color="E2E2E2"/>
            </w:tcBorders>
            <w:shd w:val="clear" w:color="auto" w:fill="E2E2E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20" w:type="dxa"/>
            <w:vAlign w:val="bottom"/>
            <w:tcBorders>
              <w:bottom w:val="single" w:sz="8" w:color="E2E2E2"/>
            </w:tcBorders>
            <w:gridSpan w:val="2"/>
            <w:vMerge w:val="continue"/>
            <w:shd w:val="clear" w:color="auto" w:fill="E2E2E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2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160" w:type="dxa"/>
            <w:vAlign w:val="bottom"/>
            <w:tcBorders>
              <w:bottom w:val="single" w:sz="8" w:color="231F20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620" w:type="dxa"/>
            <w:vAlign w:val="bottom"/>
            <w:tcBorders>
              <w:bottom w:val="single" w:sz="8" w:color="231F20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7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Obiettivi e politica di investimento</w:t>
      </w:r>
    </w:p>
    <w:p>
      <w:pPr>
        <w:sectPr>
          <w:pgSz w:w="11900" w:h="16910" w:orient="portrait"/>
          <w:cols w:equalWidth="0" w:num="1">
            <w:col w:w="11180"/>
          </w:cols>
          <w:pgMar w:left="360" w:top="969" w:right="360" w:bottom="0" w:gutter="0" w:footer="0" w:header="0"/>
        </w:sectPr>
      </w:pPr>
    </w:p>
    <w:p>
      <w:pPr>
        <w:spacing w:after="0" w:line="13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39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adotta un approccio passivo di gestione - o indicizzazione - degli investimenti, attraverso l'acquisizione fisica di titoli, e cerca di tenere traccia dell'andamento dello Standard and Poor's 500 Index (l'"Indice").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L'indice comprende le azioni delle grandi società negli Stati Uniti.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tenta di</w:t>
      </w:r>
    </w:p>
    <w:p>
      <w:pPr>
        <w:spacing w:after="0" w:line="9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jc w:val="both"/>
        <w:ind w:left="340"/>
        <w:spacing w:after="0" w:line="208" w:lineRule="auto"/>
        <w:tabs>
          <w:tab w:leader="none" w:pos="544" w:val="left"/>
        </w:tabs>
        <w:numPr>
          <w:ilvl w:val="1"/>
          <w:numId w:val="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Monitorare le prestazioni dell'indice investendo in tutti i titoli che lo compongono nella stessa proporzione dell'indice.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Ove non sia possibile replicare integralmente, il Fondo utilizzerà un processo di campionamento.</w:t>
      </w:r>
    </w:p>
    <w:p>
      <w:pPr>
        <w:spacing w:after="0" w:line="1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jc w:val="both"/>
        <w:ind w:left="340"/>
        <w:spacing w:after="0" w:line="211" w:lineRule="auto"/>
        <w:tabs>
          <w:tab w:leader="none" w:pos="503" w:val="left"/>
        </w:tabs>
        <w:numPr>
          <w:ilvl w:val="1"/>
          <w:numId w:val="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Rimanere pienamente investito, salvo in condizioni di mercato, politiche o simili straordinarie, nelle quali il Fondo può temporaneamente discostarsi da questa politica di investimento per evitare perdite.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39"/>
        <w:spacing w:after="0" w:line="22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può utilizzare derivati per ridurre il rischio o il costo e/o generare entrate o crescita supplementari.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 derivato è un contratto finanziario il cui valore è basato sul valore di un’attività finanziaria (come un’azione, un’obbligazione o una valuta) o su un indice di mercato.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valuta di base del fondo è l'USD.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40"/>
        <w:spacing w:after="0" w:line="226" w:lineRule="auto"/>
        <w:tabs>
          <w:tab w:leader="none" w:pos="340" w:val="left"/>
        </w:tabs>
        <w:numPr>
          <w:ilvl w:val="0"/>
          <w:numId w:val="4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investe in titoli denominati in valute diverse dalla valuta di quotazione.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oscillazioni dei tassi di cambio possono incidere sugli utili degli investimenti.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40"/>
        <w:spacing w:after="0" w:line="226" w:lineRule="auto"/>
        <w:tabs>
          <w:tab w:leader="none" w:pos="340" w:val="left"/>
        </w:tabs>
        <w:numPr>
          <w:ilvl w:val="0"/>
          <w:numId w:val="5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può concedere prestiti garantiti a breve termine dei suoi investimenti a taluni terzi ammissibili.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Questo è utilizzato per generare entrate supplementari e per compensare i costi del Fondo.</w:t>
      </w: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6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può non essere adeguato per investimenti a breve termine.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7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 proventi derivanti dalle azioni dell'ETF saranno di norma versati trimestralmente.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hanging="139"/>
        <w:spacing w:after="0" w:line="21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Le azioni ETF sono quotate in una o più borse.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Fatte salve alcune eccezioni indicate nel prospetto, gli investitori che non sono partecipanti autorizzati possono vendere azioni ETF solo attraverso una società che è membro di una borsa valori pertinente in qualsiasi momento in cui tale borsa valori è aperta all'attività.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8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 costi delle operazioni di portafoglio avranno un impatto sulla performance.</w:t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40" w:hanging="140"/>
        <w:spacing w:after="0" w:line="250" w:lineRule="auto"/>
        <w:tabs>
          <w:tab w:leader="none" w:pos="140" w:val="left"/>
        </w:tabs>
        <w:numPr>
          <w:ilvl w:val="0"/>
          <w:numId w:val="9"/>
        </w:numPr>
        <w:rPr>
          <w:rFonts w:ascii="Arial" w:cs="Arial" w:eastAsia="Arial" w:hAnsi="Arial"/>
          <w:sz w:val="14"/>
          <w:szCs w:val="14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231F20"/>
        </w:rPr>
        <w:t xml:space="preserve">Le azioni del Fondo possono essere acquistate o vendute quotidianamente (salvo in alcuni giorni festivi o festivi e fatte salve alcune restrizioni descritte nel Supplemento) presentando una domanda per iscritto o per telefono.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231F20"/>
        </w:rPr>
        <w:t xml:space="preserve"> Un elenco dei giorni in cui le azioni del Fondo non possono essere acquistate o vendute è disponibile su https://global.vanguard.com/portal/site/loadPDF?country=global&amp;docId=11628</w:t>
      </w:r>
    </w:p>
    <w:p>
      <w:pPr>
        <w:spacing w:after="0" w:line="16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Per ulteriori informazioni sugli obiettivi e sulla politica di investimento del fondo, nonché sulla relazione limitata con il fornitore dell'indice, si rimanda all'appendice 1 e all'appendice 6 del prospetto Vanguard Funds plc (il "prospetto") sul nostro sito web all'indirizzo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https://global.vanguard.com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-3454400</wp:posOffset>
                </wp:positionH>
                <wp:positionV relativeFrom="paragraph">
                  <wp:posOffset>2172970</wp:posOffset>
                </wp:positionV>
                <wp:extent cx="6845300" cy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2pt,171.1pt" to="267pt,171.1pt" o:allowincell="f" strokecolor="#231F20" strokeweight="0.4pt"/>
            </w:pict>
          </mc:Fallback>
        </mc:AlternateContent>
      </w:r>
    </w:p>
    <w:p>
      <w:pPr>
        <w:spacing w:after="0" w:line="3351" w:lineRule="exact"/>
        <w:rPr>
          <w:sz w:val="24"/>
          <w:szCs w:val="24"/>
          <w:color w:val="auto"/>
        </w:rPr>
      </w:pPr>
    </w:p>
    <w:p>
      <w:pPr>
        <w:sectPr>
          <w:pgSz w:w="11900" w:h="16910" w:orient="portrait"/>
          <w:cols w:equalWidth="0" w:num="2">
            <w:col w:w="5400" w:space="240"/>
            <w:col w:w="5540"/>
          </w:cols>
          <w:pgMar w:left="360" w:top="969" w:right="360" w:bottom="0" w:gutter="0" w:footer="0" w:header="0"/>
          <w:type w:val="continuous"/>
        </w:sectPr>
      </w:pPr>
    </w:p>
    <w:p>
      <w:pPr>
        <w:spacing w:after="0" w:line="1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Profilo di rischio e di rendimento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tbl>
      <w:tblPr>
        <w:tblLayout w:type="fixed"/>
        <w:tblInd w:w="4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6"/>
        </w:trPr>
        <w:tc>
          <w:tcPr>
            <w:tcW w:w="7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Rischio ridotto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Rischio più elevato</w:t>
            </w:r>
          </w:p>
        </w:tc>
        <w:tc>
          <w:tcPr>
            <w:tcW w:w="53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31F20"/>
              </w:rPr>
              <w:t xml:space="preserve">del prospetto sul nostro sito web all'indirizzo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 https://global.vanguard.com</w:t>
            </w:r>
          </w:p>
        </w:tc>
      </w:tr>
      <w:tr>
        <w:trPr>
          <w:trHeight w:val="252"/>
        </w:trPr>
        <w:tc>
          <w:tcPr>
            <w:tcW w:w="1540" w:type="dxa"/>
            <w:vAlign w:val="bottom"/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In genere premi inferiori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In genere ricompense più elevate</w:t>
            </w:r>
          </w:p>
        </w:tc>
        <w:tc>
          <w:tcPr>
            <w:tcW w:w="53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  <w:tr>
        <w:trPr>
          <w:trHeight w:val="116"/>
        </w:trPr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</w:tr>
      <w:tr>
        <w:trPr>
          <w:trHeight w:val="390"/>
        </w:trPr>
        <w:tc>
          <w:tcPr>
            <w:tcW w:w="760" w:type="dxa"/>
            <w:vAlign w:val="bottom"/>
          </w:tcPr>
          <w:p>
            <w:pPr xmlns:w="http://schemas.openxmlformats.org/wordprocessingml/2006/main">
              <w:jc w:val="right"/>
              <w:ind w:right="39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1</w:t>
            </w: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4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2</w:t>
            </w:r>
          </w:p>
        </w:tc>
        <w:tc>
          <w:tcPr>
            <w:tcW w:w="52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3</w:t>
            </w:r>
          </w:p>
        </w:tc>
        <w:tc>
          <w:tcPr>
            <w:tcW w:w="74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4</w:t>
            </w: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ind w:right="18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5</w:t>
            </w:r>
          </w:p>
        </w:tc>
        <w:tc>
          <w:tcPr>
            <w:tcW w:w="740" w:type="dxa"/>
            <w:vAlign w:val="bottom"/>
            <w:shd w:val="clear" w:color="auto" w:fill="231F20"/>
          </w:tcPr>
          <w:p>
            <w:pPr xmlns:w="http://schemas.openxmlformats.org/wordprocessingml/2006/main">
              <w:jc w:val="right"/>
              <w:ind w:right="16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FFFFFF"/>
              </w:rPr>
              <w:t xml:space="preserve">6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380" w:type="dxa"/>
            <w:vAlign w:val="bottom"/>
          </w:tcPr>
          <w:p>
            <w:pPr xmlns:w="http://schemas.openxmlformats.org/wordprocessingml/2006/main">
              <w:jc w:val="right"/>
              <w:ind w:right="5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  <w:w w:val="89"/>
              </w:rPr>
              <w:t xml:space="preserve">7</w:t>
            </w:r>
          </w:p>
        </w:tc>
      </w:tr>
      <w:tr>
        <w:trPr>
          <w:trHeight w:val="22"/>
        </w:trPr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shd w:val="clear" w:color="auto" w:fill="231F2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3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121920</wp:posOffset>
            </wp:positionH>
            <wp:positionV relativeFrom="paragraph">
              <wp:posOffset>-522605</wp:posOffset>
            </wp:positionV>
            <wp:extent cx="3312160" cy="863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60" cy="86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121920</wp:posOffset>
            </wp:positionH>
            <wp:positionV relativeFrom="paragraph">
              <wp:posOffset>-271145</wp:posOffset>
            </wp:positionV>
            <wp:extent cx="3317240" cy="2819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Questo indicatore si basa su dati storici e potrebbe non essere attendibile.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indicazione del futuro profilo di rischio del Fondo.</w:t>
      </w: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10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categoria di rischio indicata non è garantita e può variare nel tempo.</w:t>
      </w:r>
    </w:p>
    <w:p>
      <w:pPr>
        <w:spacing w:after="0" w:line="16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ind w:left="340" w:hanging="140"/>
        <w:spacing w:after="0"/>
        <w:tabs>
          <w:tab w:leader="none" w:pos="340" w:val="left"/>
        </w:tabs>
        <w:numPr>
          <w:ilvl w:val="0"/>
          <w:numId w:val="1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categoria più bassa non significa "senza rischio".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è classificato 6 a causa della natura dei suoi investimenti, che comprendono</w:t>
      </w:r>
    </w:p>
    <w:p>
      <w:pPr xmlns:w="http://schemas.openxmlformats.org/wordprocessingml/2006/main">
        <w:ind w:left="340"/>
        <w:spacing w:after="0" w:line="21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 rischi elencati di seguito.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Questi fattori possono incidere sul valore del fondo</w:t>
      </w:r>
    </w:p>
    <w:p>
      <w:pPr xmlns:w="http://schemas.openxmlformats.org/wordprocessingml/2006/main">
        <w:ind w:left="340"/>
        <w:spacing w:after="0" w:line="21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investimenti o esporre il Fondo a perdite.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right="5780"/>
        <w:spacing w:after="0" w:line="241" w:lineRule="auto"/>
        <w:tabs>
          <w:tab w:leader="none" w:pos="443" w:val="left"/>
        </w:tabs>
        <w:numPr>
          <w:ilvl w:val="0"/>
          <w:numId w:val="12"/>
        </w:numPr>
        <w:rPr>
          <w:rFonts w:ascii="Arial" w:cs="Arial" w:eastAsia="Arial" w:hAnsi="Arial"/>
          <w:sz w:val="15"/>
          <w:szCs w:val="15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I movimenti giornalieri dei mercati azionari possono incidere sul valore degli strumenti di capitale e dei titoli azionari.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Altri fattori influenti comprendono notizie politiche, economiche, utili aziendali ed eventi aziendali significativi.</w:t>
      </w:r>
    </w:p>
    <w:p>
      <w:pPr xmlns:w="http://schemas.openxmlformats.org/wordprocessingml/2006/main">
        <w:jc w:val="both"/>
        <w:ind w:left="340" w:right="5780"/>
        <w:spacing w:after="0" w:line="226" w:lineRule="auto"/>
        <w:tabs>
          <w:tab w:leader="none" w:pos="425" w:val="left"/>
        </w:tabs>
        <w:numPr>
          <w:ilvl w:val="0"/>
          <w:numId w:val="1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rischio di investimento si concentra in settori, paesi, valute o società specifici.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Ciò significa che il Fondo è più sensibile a qualsiasi evento economico, di mercato, politico o normativo localizzato.</w:t>
      </w:r>
    </w:p>
    <w:p>
      <w:pPr xmlns:w="http://schemas.openxmlformats.org/wordprocessingml/2006/main">
        <w:jc w:val="both"/>
        <w:ind w:left="340" w:right="5780"/>
        <w:spacing w:after="0" w:line="226" w:lineRule="auto"/>
        <w:tabs>
          <w:tab w:leader="none" w:pos="460" w:val="left"/>
        </w:tabs>
        <w:numPr>
          <w:ilvl w:val="0"/>
          <w:numId w:val="1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Uso di derivati.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L'uso di derivati potrebbe aumentare o ridurre l'esposizione alle attività sottostanti e comportare maggiori fluttuazioni del valore patrimoniale netto del Fondo.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L'indicatore di rischio e rendimento non tiene conto dei seguenti elementi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rischi connessi agli investimenti nel Fondo:</w:t>
      </w: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Rischio di controparte.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L'insolvenza degli enti che forniscono servizi</w:t>
      </w:r>
    </w:p>
    <w:p>
      <w:pPr xmlns:w="http://schemas.openxmlformats.org/wordprocessingml/2006/main">
        <w:ind w:left="340"/>
        <w:spacing w:after="0" w:line="20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, ad esempio la custodia delle attività o la funzione di controparte di derivati, o</w:t>
      </w:r>
    </w:p>
    <w:p>
      <w:pPr xmlns:w="http://schemas.openxmlformats.org/wordprocessingml/2006/main">
        <w:ind w:left="340"/>
        <w:spacing w:after="0" w:line="21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altri strumenti, possono esporre il Fondo a perdite finanziarie.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right="5780" w:hanging="140"/>
        <w:spacing w:after="0" w:line="219" w:lineRule="auto"/>
        <w:tabs>
          <w:tab w:leader="none" w:pos="340" w:val="left"/>
        </w:tabs>
        <w:numPr>
          <w:ilvl w:val="0"/>
          <w:numId w:val="13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Rischio di liquidità.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Una liquidità inferiore significa che non vi sono acquirenti o venditori sufficienti per consentire al Fondo di vendere o acquistare investimenti prontamente, il che potrebbe comportare costi più elevati per il Fondo al momento dell'acquisto o della vendita degli investimenti, o potrebbe significare che il Fondo non è in grado di acquistare o vendere gli investimenti quando lo desidera.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340" w:right="5780" w:hanging="140"/>
        <w:spacing w:after="0" w:line="222" w:lineRule="auto"/>
        <w:tabs>
          <w:tab w:leader="none" w:pos="340" w:val="left"/>
        </w:tabs>
        <w:numPr>
          <w:ilvl w:val="0"/>
          <w:numId w:val="14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Rischio di monitoraggio dell'indice.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Non si prevede che il Fondo segua sempre le prestazioni dell'indice con precisione assoluta.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Tuttavia, il fondo dovrebbe fornire risultati di investimento che, prima delle spese, corrispondono generalmente ai prezzi e ai rendimenti dell'indice.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Rischio di campionamento dell'indice.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Poiché il Fondo utilizza una tecnica di campionamento dell'indice</w:t>
      </w:r>
    </w:p>
    <w:p>
      <w:pPr xmlns:w="http://schemas.openxmlformats.org/wordprocessingml/2006/main">
        <w:ind w:left="340"/>
        <w:spacing w:after="0" w:line="21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in cui viene selezionato un campione rappresentativo di valori mobiliari al fine di</w:t>
      </w:r>
    </w:p>
    <w:p>
      <w:pPr xmlns:w="http://schemas.openxmlformats.org/wordprocessingml/2006/main">
        <w:ind w:left="340"/>
        <w:spacing w:after="0" w:line="20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dell'indice, vi è il rischio che i titoli selezionati per il Fondo possano</w:t>
      </w:r>
    </w:p>
    <w:p>
      <w:pPr xmlns:w="http://schemas.openxmlformats.org/wordprocessingml/2006/main">
        <w:ind w:left="34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non si avvicina, nel complesso, all'indice completo.</w:t>
      </w:r>
    </w:p>
    <w:p>
      <w:pPr xmlns:w="http://schemas.openxmlformats.org/wordprocessingml/2006/main">
        <w:ind w:left="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Per ulteriori informazioni sui rischi, consultare la sezione "Fattori di rischio"</w:t>
      </w:r>
    </w:p>
    <w:p>
      <w:pPr>
        <w:sectPr>
          <w:pgSz w:w="11900" w:h="16910" w:orient="portrait"/>
          <w:cols w:equalWidth="0" w:num="1">
            <w:col w:w="11180"/>
          </w:cols>
          <w:pgMar w:left="360" w:top="969" w:right="360" w:bottom="0" w:gutter="0" w:footer="0" w:header="0"/>
          <w:type w:val="continuous"/>
        </w:sectPr>
      </w:pPr>
    </w:p>
    <w:bookmarkStart w:id="1" w:name="page2"/>
    <w:bookmarkEnd w:id="1"/>
    <w:p>
      <w:pPr>
        <w:spacing w:after="0" w:line="1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254000</wp:posOffset>
                </wp:positionV>
                <wp:extent cx="684530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pt,20pt" to="567pt,20pt" o:allowincell="f" strokecolor="#231F20" strokeweight="0.4pt">
                <w10:wrap anchorx="page" anchory="page"/>
              </v:line>
            </w:pict>
          </mc:Fallback>
        </mc:AlternateContent>
      </w: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Spese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Le spese da lei pagate sono utilizzate per pagare i costi di gestione del Fondo, compresi i costi di marketing e distribuzione.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Questi costi riducono la crescita potenziale dell'investimento.</w:t>
      </w:r>
    </w:p>
    <w:p>
      <w:pPr>
        <w:sectPr>
          <w:pgSz w:w="11900" w:h="16940" w:orient="portrait"/>
          <w:cols w:equalWidth="0" w:num="1">
            <w:col w:w="10799"/>
          </w:cols>
          <w:pgMar w:left="541" w:top="477" w:right="560" w:bottom="0" w:gutter="0" w:footer="0" w:header="0"/>
        </w:sectPr>
      </w:pP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5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Oneri una tantum assunti prima o dopo l'investimento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-128270</wp:posOffset>
                </wp:positionV>
                <wp:extent cx="330200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-10.0999pt" to="260.9pt,-10.0999pt" o:allowincell="f" strokecolor="#000000" strokeweight="0.4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23495</wp:posOffset>
                </wp:positionV>
                <wp:extent cx="330200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85pt" to="260.9pt,1.85pt" o:allowincell="f" strokecolor="#000000" strokeweight="0.4pt"/>
            </w:pict>
          </mc:Fallback>
        </mc:AlternateContent>
      </w:r>
    </w:p>
    <w:p>
      <w:pPr>
        <w:spacing w:after="0" w:line="33" w:lineRule="exact"/>
        <w:rPr>
          <w:sz w:val="20"/>
          <w:szCs w:val="20"/>
          <w:color w:val="auto"/>
        </w:rPr>
      </w:pPr>
    </w:p>
    <w:tbl>
      <w:tblPr>
        <w:tblLayout w:type="fixed"/>
        <w:tblInd w:w="19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5"/>
        </w:trPr>
        <w:tc>
          <w:tcPr>
            <w:tcW w:w="29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Diritto di ingresso*</w:t>
            </w:r>
          </w:p>
        </w:tc>
        <w:tc>
          <w:tcPr>
            <w:tcW w:w="2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18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  <w:tr>
        <w:trPr>
          <w:trHeight w:val="225"/>
        </w:trPr>
        <w:tc>
          <w:tcPr>
            <w:tcW w:w="29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Uscita carica*</w:t>
            </w:r>
          </w:p>
        </w:tc>
        <w:tc>
          <w:tcPr>
            <w:tcW w:w="2240" w:type="dxa"/>
            <w:vAlign w:val="bottom"/>
          </w:tcPr>
          <w:p>
            <w:pPr xmlns:w="http://schemas.openxmlformats.org/wordprocessingml/2006/main">
              <w:ind w:left="18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13335</wp:posOffset>
                </wp:positionV>
                <wp:extent cx="3302000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05pt" to="260.9pt,1.05pt" o:allowincell="f" strokecolor="#000000" strokeweight="0.4pt"/>
            </w:pict>
          </mc:Fallback>
        </mc:AlternateConten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59" w:right="40"/>
        <w:spacing w:after="0" w:line="25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Questo è il massimo che potrebbe essere tolto dal vostro denaro prima che sia investito / prima che i proventi del vostro investimento sono pagati.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-3810</wp:posOffset>
                </wp:positionV>
                <wp:extent cx="330200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-0.2999pt" to="260.9pt,-0.2999pt" o:allowincell="f" strokecolor="#000000" strokeweight="0.4pt"/>
            </w:pict>
          </mc:Fallback>
        </mc:AlternateContent>
      </w:r>
    </w:p>
    <w:p>
      <w:pPr xmlns:w="http://schemas.openxmlformats.org/wordprocessingml/2006/main">
        <w:ind w:left="5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Oneri prelevati dal Fondo su un periodo di un anno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23495</wp:posOffset>
                </wp:positionV>
                <wp:extent cx="3302000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85pt" to="260.9pt,1.85pt" o:allowincell="f" strokecolor="#000000" strokeweight="0.4pt"/>
            </w:pict>
          </mc:Fallback>
        </mc:AlternateContent>
      </w:r>
    </w:p>
    <w:p>
      <w:pPr>
        <w:spacing w:after="0" w:line="33" w:lineRule="exact"/>
        <w:rPr>
          <w:sz w:val="20"/>
          <w:szCs w:val="20"/>
          <w:color w:val="auto"/>
        </w:rPr>
      </w:pPr>
    </w:p>
    <w:tbl>
      <w:tblPr>
        <w:tblLayout w:type="fixed"/>
        <w:tblInd w:w="19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4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Costi correnti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0,07%</w:t>
            </w:r>
          </w:p>
        </w:tc>
      </w:tr>
      <w:tr>
        <w:trPr>
          <w:trHeight w:val="229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Oneri prelevati dal Fondo a determinate condizioni specifiche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214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Commissione di esecuzione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jc w:val="both"/>
        <w:spacing w:after="0" w:line="21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Gli investitori che non sono partecipanti autorizzati ("AP") possono dover pagare commissioni a un agente di borsa quando si acquista o si vende in borsa(i).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commissioni sono disponibili direttamente dal tuo agente di borsa e non sono addebitate dal Fondo o da versare al Fondo.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Le spese di entrata e di uscita indicate sono cifre massime e in alcuni casi si potrebbe pagare meno.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Gli investitori possono scoprire le spese effettive di ingresso e uscita dal loro distributore e/o consulente.</w:t>
      </w:r>
    </w:p>
    <w:p>
      <w:pPr xmlns:w="http://schemas.openxmlformats.org/wordprocessingml/2006/main">
        <w:jc w:val="both"/>
        <w:spacing w:after="0" w:line="23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I punti di accesso che trattano direttamente con il fondo pagheranno i relativi costi di transazione.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Per le creazioni di contante o i rimborsi può essere pagata al Fondo una commissione per le transazioni in contanti pari al massimo al 2% e tutte le transazioni avranno i relativi costi di transazione.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Gli investitori che non sono AP non pagheranno tali commissioni o costi.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26" w:lineRule="auto"/>
        <w:tabs>
          <w:tab w:leader="none" w:pos="97" w:val="left"/>
        </w:tabs>
        <w:numPr>
          <w:ilvl w:val="0"/>
          <w:numId w:val="15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Nel caso di un'ampia sottoscrizione o rimborso da parte di un investitore, quest'ultimo potrebbe dover pagare al fondo un onere aggiuntivo (ad esempio un prelievo anti-diluizione) per coprire i costi di transazione sostenuti.</w:t>
      </w:r>
    </w:p>
    <w:p>
      <w:pPr xmlns:w="http://schemas.openxmlformats.org/wordprocessingml/2006/main">
        <w:jc w:val="both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L'importo degli oneri correnti si basa sulle spese per l'esercizio chiuso al 31 dicembre 2022.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Questa cifra può variare di anno in anno.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Sono esclusi i costi delle operazioni di portafoglio.</w:t>
      </w:r>
    </w:p>
    <w:p>
      <w:pPr xmlns:w="http://schemas.openxmlformats.org/wordprocessingml/2006/main">
        <w:jc w:val="both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Per ulteriori informazioni sulle commissioni, si prega di consultare il prospetto e le sezioni intitolate "Azioni di acquisto", "Azioni di rimborso", "Commissioni e spese" e l'appendice 1 sul nostro sito web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https://global.vanguard.com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-3429000</wp:posOffset>
                </wp:positionH>
                <wp:positionV relativeFrom="paragraph">
                  <wp:posOffset>85725</wp:posOffset>
                </wp:positionV>
                <wp:extent cx="6845300" cy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0pt,6.75pt" to="269pt,6.75pt" o:allowincell="f" strokecolor="#231F20" strokeweight="0.4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940" w:orient="portrait"/>
          <w:cols w:equalWidth="0" w:num="2">
            <w:col w:w="5219" w:space="200"/>
            <w:col w:w="5380"/>
          </w:cols>
          <w:pgMar w:left="541" w:top="477" w:right="560" w:bottom="0" w:gutter="0" w:footer="0" w:header="0"/>
          <w:type w:val="continuous"/>
        </w:sectPr>
      </w:pPr>
    </w:p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Prestazioni passate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Prestazioni passate: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75565</wp:posOffset>
            </wp:positionH>
            <wp:positionV relativeFrom="paragraph">
              <wp:posOffset>-112395</wp:posOffset>
            </wp:positionV>
            <wp:extent cx="3619500" cy="213360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2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1.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Non è un'indicazione affidabile dei risultati futuri.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419" w:hanging="199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2. Comprende gli oneri correnti e il reinvestimento dei proventi.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Sono escluse le tasse di ingresso e di uscita.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2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3. è stato calcolato in USD.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Due azioni del Fondo sono state emesse per la prima volta nel 2012.</w:t>
      </w:r>
    </w:p>
    <w:p>
      <w:pPr xmlns:w="http://schemas.openxmlformats.org/wordprocessingml/2006/main">
        <w:ind w:left="6159"/>
        <w:spacing w:after="0" w:line="1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Questa classe è stata lanciata nel 2012.</w: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780"/>
        </w:trPr>
        <w:tc>
          <w:tcPr>
            <w:tcW w:w="161" w:type="dxa"/>
            <w:vAlign w:val="bottom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Percentuale (%)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98425" cy="984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Fondo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98425" cy="984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Indice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93980</wp:posOffset>
                </wp:positionV>
                <wp:extent cx="6845300" cy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7.4pt" to="539.9pt,7.4pt" o:allowincell="f" strokecolor="#231F20" strokeweight="0.4pt"/>
            </w:pict>
          </mc:Fallback>
        </mc:AlternateConten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Informazioni pratiche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16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Depositario: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Brown Brothers Harriman Trustee Services (Ireland) Limited.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159" w:hanging="139"/>
        <w:spacing w:after="0" w:line="21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Documenti, prezzi delle azioni e ulteriori informazioni: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È possibile ottenere copie del prospetto, dell'ultima relazione annuale e semestrale e dei conti di Vanguard Funds plc ("VF") insieme agli ultimi prezzi pubblicati delle azioni e altre informazioni pratiche, da VF c/o Brown Brothers Harriman Fund Administration Services (Ireland) Limited, 30 Herbert Street, Dublin 2, D02 W329, Ireland o dal nostro sito web https://global.vanguard.com.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Informazioni sulla politica di divulgazione del portafoglio del Fondo e sulla pubblicazione dell'iNAV possono essere ottenute all'indirizzo https://global.vanguard.com/portal/site/portal/ucits-documentation.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 documenti sono disponibili gratuitamente in inglese.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17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Prezzi: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gli ultimi prezzi pubblicati delle azioni del Fondo sono disponibili anche sul sito web del FT www.ft.com o https://global.vanguard.com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 w:line="228" w:lineRule="auto"/>
        <w:tabs>
          <w:tab w:leader="none" w:pos="159" w:val="left"/>
        </w:tabs>
        <w:numPr>
          <w:ilvl w:val="0"/>
          <w:numId w:val="18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Imposta: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VF è soggetta alla legislazione fiscale irlandese.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A seconda del paese di residenza, ciò può avere un impatto sulla posizione fiscale personale.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Si consiglia di consultare il proprio consulente fiscale professionale.</w:t>
      </w: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19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Responsabilità: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VGIL può essere ritenuta responsabile solo sulla base di una dichiarazione contenuta nel presente documento che sia fuorviante, imprecisa o incoerente con le parti pertinenti del prospetto per VF.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39"/>
        <w:spacing w:after="0" w:line="23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Sotto-fondi: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VF è un fondo d'investimento con una serie di sotto-fondi.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presente documento descrive un sotto-fondo di VF.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prospetto e le relazioni periodiche sono predisposti per l'intera società.</w:t>
      </w: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20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VF è un fondo ombrello con responsabilità separata tra i sotto-fondi.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Ciò significa che le partecipazioni del Fondo sono mantenute separatamente ai sensi del diritto irlandese dalle partecipazioni di altri sotto-fondi di VF e il vostro investimento nel Fondo non sarà influenzato da eventuali crediti nei confronti di altri sotto-fondi di VF.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2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Azioni: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azioni ETF del Fondo non possono essere scambiate con azioni ETF di altri sotto-fondi di VF, tuttavia i PA possono, con l'approvazione preventiva, cambiare le azioni ETF del Fondo verso una diversa classe di azioni dello stesso Fondo, dove sono disponibili altre classi di azioni.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2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Informazioni su altre categorie di azioni offerte da VF sono disponibili nel prospetto informativo o sul sito web https://global.vanguard.com.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23"/>
        </w:numPr>
        <w:rPr>
          <w:rFonts w:ascii="Arial" w:cs="Arial" w:eastAsia="Arial" w:hAnsi="Arial"/>
          <w:sz w:val="13"/>
          <w:szCs w:val="13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b w:val="1"/>
          <w:bCs w:val="1"/>
          <w:color w:val="231F20"/>
        </w:rPr>
        <w:t xml:space="preserve">Politica retributiva: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231F20"/>
        </w:rPr>
        <w:t xml:space="preserve"> i dettagli della politica retributiva di VGIL sono disponibili all'indirizzo https://www.ie.vanguard/content/dam/intl/europe/documents/ch/en/ucits-v-remuneration-policy.pdf</w:t>
      </w:r>
    </w:p>
    <w:p>
      <w:pPr>
        <w:spacing w:after="0" w:line="42" w:lineRule="exact"/>
        <w:rPr>
          <w:rFonts w:ascii="Arial" w:cs="Arial" w:eastAsia="Arial" w:hAnsi="Arial"/>
          <w:sz w:val="13"/>
          <w:szCs w:val="13"/>
          <w:color w:val="231F20"/>
        </w:rPr>
      </w:pPr>
    </w:p>
    <w:p>
      <w:pPr xmlns:w="http://schemas.openxmlformats.org/wordprocessingml/2006/main">
        <w:ind w:left="159"/>
        <w:spacing w:after="0" w:line="222" w:lineRule="auto"/>
        <w:rPr>
          <w:rFonts w:ascii="Arial" w:cs="Arial" w:eastAsia="Arial" w:hAnsi="Arial"/>
          <w:sz w:val="13"/>
          <w:szCs w:val="13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compresa: a) una descrizione delle modalità di calcolo delle retribuzioni e delle prestazioni; e b) l'identità delle persone responsabili dell'attribuzione delle retribuzioni e</w:t>
      </w:r>
    </w:p>
    <w:p>
      <w:pPr xmlns:w="http://schemas.openxmlformats.org/wordprocessingml/2006/main">
        <w:ind w:left="159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vantaggi.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Una copia cartacea di tali informazioni può essere ottenuta gratuitamente dalla VGIL al numero 70 di Sir John Rogerson's Quay, Dublin 2, Irlanda.</w:t>
      </w:r>
    </w:p>
    <w:p>
      <w:pPr>
        <w:sectPr>
          <w:pgSz w:w="11900" w:h="16940" w:orient="portrait"/>
          <w:cols w:equalWidth="0" w:num="1">
            <w:col w:w="10799"/>
          </w:cols>
          <w:pgMar w:left="541" w:top="477" w:right="560" w:bottom="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 w:line="25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è autorizzato in Irlanda e regolamentato dalla Central Bank of Ireland (la "Banca centrale").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VGIL è autorizzato in Irlanda e regolamentato dalla Banca centrale.Queste informazioni chiave per gli investitori sono esatte al 17/02/2023.</w:t>
      </w:r>
    </w:p>
    <w:sectPr>
      <w:pgSz w:w="11900" w:h="16940" w:orient="portrait"/>
      <w:cols w:equalWidth="0" w:num="1">
        <w:col w:w="10799"/>
      </w:cols>
      <w:pgMar w:left="541" w:top="477" w:right="560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61A4ED4"/>
    <w:multiLevelType w:val="hybridMultilevel"/>
    <w:lvl w:ilvl="0">
      <w:lvlJc w:val="left"/>
      <w:lvlText w:val="%1"/>
      <w:numFmt w:val="decimal"/>
      <w:start w:val="2"/>
    </w:lvl>
  </w:abstractNum>
  <w:abstractNum w:abstractNumId="1">
    <w:nsid w:val="318473DB"/>
    <w:multiLevelType w:val="hybridMultilevel"/>
    <w:lvl w:ilvl="0">
      <w:lvlJc w:val="left"/>
      <w:lvlText w:val="%1"/>
      <w:numFmt w:val="decimal"/>
      <w:start w:val="2"/>
    </w:lvl>
    <w:lvl w:ilvl="1">
      <w:lvlJc w:val="left"/>
      <w:lvlText w:val="%2."/>
      <w:numFmt w:val="decimal"/>
      <w:start w:val="1"/>
    </w:lvl>
  </w:abstractNum>
  <w:abstractNum w:abstractNumId="2">
    <w:nsid w:val="59B4238A"/>
    <w:multiLevelType w:val="hybridMultilevel"/>
    <w:lvl w:ilvl="0">
      <w:lvlJc w:val="left"/>
      <w:lvlText w:val="%1"/>
      <w:numFmt w:val="decimal"/>
      <w:start w:val="2"/>
    </w:lvl>
  </w:abstractNum>
  <w:abstractNum w:abstractNumId="3">
    <w:nsid w:val="5D0C422C"/>
    <w:multiLevelType w:val="hybridMultilevel"/>
    <w:lvl w:ilvl="0">
      <w:lvlJc w:val="left"/>
      <w:lvlText w:val="%1"/>
      <w:numFmt w:val="decimal"/>
      <w:start w:val="2"/>
    </w:lvl>
  </w:abstractNum>
  <w:abstractNum w:abstractNumId="4">
    <w:nsid w:val="3E41BE03"/>
    <w:multiLevelType w:val="hybridMultilevel"/>
    <w:lvl w:ilvl="0">
      <w:lvlJc w:val="left"/>
      <w:lvlText w:val="%1"/>
      <w:numFmt w:val="decimal"/>
      <w:start w:val="2"/>
    </w:lvl>
  </w:abstractNum>
  <w:abstractNum w:abstractNumId="5">
    <w:nsid w:val="51C61A4"/>
    <w:multiLevelType w:val="hybridMultilevel"/>
    <w:lvl w:ilvl="0">
      <w:lvlJc w:val="left"/>
      <w:lvlText w:val="%1"/>
      <w:numFmt w:val="decimal"/>
      <w:start w:val="2"/>
    </w:lvl>
  </w:abstractNum>
  <w:abstractNum w:abstractNumId="6">
    <w:nsid w:val="6230AC03"/>
    <w:multiLevelType w:val="hybridMultilevel"/>
    <w:lvl w:ilvl="0">
      <w:lvlJc w:val="left"/>
      <w:lvlText w:val="%1"/>
      <w:numFmt w:val="decimal"/>
      <w:start w:val="2"/>
    </w:lvl>
  </w:abstractNum>
  <w:abstractNum w:abstractNumId="7">
    <w:nsid w:val="1AFBEBF"/>
    <w:multiLevelType w:val="hybridMultilevel"/>
    <w:lvl w:ilvl="0">
      <w:lvlJc w:val="left"/>
      <w:lvlText w:val="%1"/>
      <w:numFmt w:val="decimal"/>
      <w:start w:val="2"/>
    </w:lvl>
  </w:abstractNum>
  <w:abstractNum w:abstractNumId="8">
    <w:nsid w:val="7CCC5EF3"/>
    <w:multiLevelType w:val="hybridMultilevel"/>
    <w:lvl w:ilvl="0">
      <w:lvlJc w:val="left"/>
      <w:lvlText w:val="%1"/>
      <w:numFmt w:val="decimal"/>
      <w:start w:val="2"/>
    </w:lvl>
  </w:abstractNum>
  <w:abstractNum w:abstractNumId="9">
    <w:nsid w:val="6A9754B0"/>
    <w:multiLevelType w:val="hybridMultilevel"/>
    <w:lvl w:ilvl="0">
      <w:lvlJc w:val="left"/>
      <w:lvlText w:val="%1"/>
      <w:numFmt w:val="decimal"/>
      <w:start w:val="2"/>
    </w:lvl>
  </w:abstractNum>
  <w:abstractNum w:abstractNumId="10">
    <w:nsid w:val="62682907"/>
    <w:multiLevelType w:val="hybridMultilevel"/>
    <w:lvl w:ilvl="0">
      <w:lvlJc w:val="left"/>
      <w:lvlText w:val="%1"/>
      <w:numFmt w:val="decimal"/>
      <w:start w:val="2"/>
    </w:lvl>
  </w:abstractNum>
  <w:abstractNum w:abstractNumId="11">
    <w:nsid w:val="55BFDD9D"/>
    <w:multiLevelType w:val="hybridMultilevel"/>
    <w:lvl w:ilvl="0">
      <w:lvlJc w:val="left"/>
      <w:lvlText w:val="-"/>
      <w:numFmt w:val="bullet"/>
      <w:start w:val="1"/>
    </w:lvl>
  </w:abstractNum>
  <w:abstractNum w:abstractNumId="12">
    <w:nsid w:val="671A783B"/>
    <w:multiLevelType w:val="hybridMultilevel"/>
    <w:lvl w:ilvl="0">
      <w:lvlJc w:val="left"/>
      <w:lvlText w:val="%1"/>
      <w:numFmt w:val="decimal"/>
      <w:start w:val="2"/>
    </w:lvl>
  </w:abstractNum>
  <w:abstractNum w:abstractNumId="13">
    <w:nsid w:val="594E0D1F"/>
    <w:multiLevelType w:val="hybridMultilevel"/>
    <w:lvl w:ilvl="0">
      <w:lvlJc w:val="left"/>
      <w:lvlText w:val="%1"/>
      <w:numFmt w:val="decimal"/>
      <w:start w:val="2"/>
    </w:lvl>
  </w:abstractNum>
  <w:abstractNum w:abstractNumId="14">
    <w:nsid w:val="1CF8E8E0"/>
    <w:multiLevelType w:val="hybridMultilevel"/>
    <w:lvl w:ilvl="0">
      <w:lvlJc w:val="left"/>
      <w:lvlText w:val="*"/>
      <w:numFmt w:val="bullet"/>
      <w:start w:val="1"/>
    </w:lvl>
  </w:abstractNum>
  <w:abstractNum w:abstractNumId="15">
    <w:nsid w:val="3C17A14E"/>
    <w:multiLevelType w:val="hybridMultilevel"/>
    <w:lvl w:ilvl="0">
      <w:lvlJc w:val="left"/>
      <w:lvlText w:val="%1"/>
      <w:numFmt w:val="decimal"/>
      <w:start w:val="2"/>
    </w:lvl>
  </w:abstractNum>
  <w:abstractNum w:abstractNumId="16">
    <w:nsid w:val="36D69EAB"/>
    <w:multiLevelType w:val="hybridMultilevel"/>
    <w:lvl w:ilvl="0">
      <w:lvlJc w:val="left"/>
      <w:lvlText w:val="%1"/>
      <w:numFmt w:val="decimal"/>
      <w:start w:val="2"/>
    </w:lvl>
  </w:abstractNum>
  <w:abstractNum w:abstractNumId="17">
    <w:nsid w:val="612EF4C8"/>
    <w:multiLevelType w:val="hybridMultilevel"/>
    <w:lvl w:ilvl="0">
      <w:lvlJc w:val="left"/>
      <w:lvlText w:val="%1"/>
      <w:numFmt w:val="decimal"/>
      <w:start w:val="2"/>
    </w:lvl>
  </w:abstractNum>
  <w:abstractNum w:abstractNumId="18">
    <w:nsid w:val="55BDD163"/>
    <w:multiLevelType w:val="hybridMultilevel"/>
    <w:lvl w:ilvl="0">
      <w:lvlJc w:val="left"/>
      <w:lvlText w:val="%1"/>
      <w:numFmt w:val="decimal"/>
      <w:start w:val="2"/>
    </w:lvl>
  </w:abstractNum>
  <w:abstractNum w:abstractNumId="19">
    <w:nsid w:val="6E972C28"/>
    <w:multiLevelType w:val="hybridMultilevel"/>
    <w:lvl w:ilvl="0">
      <w:lvlJc w:val="left"/>
      <w:lvlText w:val="%1"/>
      <w:numFmt w:val="decimal"/>
      <w:start w:val="2"/>
    </w:lvl>
  </w:abstractNum>
  <w:abstractNum w:abstractNumId="20">
    <w:nsid w:val="22BFB363"/>
    <w:multiLevelType w:val="hybridMultilevel"/>
    <w:lvl w:ilvl="0">
      <w:lvlJc w:val="left"/>
      <w:lvlText w:val="%1"/>
      <w:numFmt w:val="decimal"/>
      <w:start w:val="2"/>
    </w:lvl>
  </w:abstractNum>
  <w:abstractNum w:abstractNumId="21">
    <w:nsid w:val="256F624D"/>
    <w:multiLevelType w:val="hybridMultilevel"/>
    <w:lvl w:ilvl="0">
      <w:lvlJc w:val="left"/>
      <w:lvlText w:val="%1"/>
      <w:numFmt w:val="decimal"/>
      <w:start w:val="2"/>
    </w:lvl>
  </w:abstractNum>
  <w:abstractNum w:abstractNumId="22">
    <w:nsid w:val="44612FEB"/>
    <w:multiLevelType w:val="hybridMultilevel"/>
    <w:lvl w:ilvl="0">
      <w:lvlJc w:val="left"/>
      <w:lvlText w:val="%1"/>
      <w:numFmt w:val="decimal"/>
      <w:start w:val="2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jpeg"/><Relationship Id="rId16" Type="http://schemas.openxmlformats.org/officeDocument/2006/relationships/image" Target="media/image5.png"/><Relationship Id="rId17" Type="http://schemas.openxmlformats.org/officeDocument/2006/relationships/image" Target="media/image6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2023-04-28T17:29:48Z</dcterms:created>
  <dcterms:modified xsi:type="dcterms:W3CDTF">2023-04-28T17:29:48Z</dcterms:modified>
</cp:coreProperties>
</file>