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55865" cy="7327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7555865" cy="732790"/>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δελτίο βασικών πληροφοριών</w:t>
      </w:r>
    </w:p>
    <w:p>
      <w:pPr>
        <w:spacing w:after="0" w:line="200" w:lineRule="exact"/>
        <w:rPr>
          <w:sz w:val="24"/>
          <w:szCs w:val="24"/>
          <w:color w:val="auto"/>
        </w:rPr>
      </w:pPr>
    </w:p>
    <w:p>
      <w:pPr>
        <w:spacing w:after="0" w:line="23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Αντικείμενο</w:t>
      </w:r>
    </w:p>
    <w:p>
      <w:pPr>
        <w:spacing w:after="0" w:line="34" w:lineRule="exact"/>
        <w:rPr>
          <w:sz w:val="24"/>
          <w:szCs w:val="24"/>
          <w:color w:val="auto"/>
        </w:rPr>
      </w:pPr>
    </w:p>
    <w:p>
      <w:pPr xmlns:w="http://schemas.openxmlformats.org/wordprocessingml/2006/main">
        <w:jc w:val="both"/>
        <w:ind w:right="40"/>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Αυτό το δελτίο πληροφοριών σας παρέχει σημαντικές πληροφορίες σχετικά με αυτό το επενδυτικό προϊόν.</w:t>
      </w:r>
      <w:r>
        <w:rPr xmlns:w="http://schemas.openxmlformats.org/wordprocessingml/2006/main">
          <w:rFonts w:ascii="Arial" w:cs="Arial" w:eastAsia="Arial" w:hAnsi="Arial"/>
          <w:sz w:val="16"/>
          <w:szCs w:val="16"/>
          <w:color w:val="auto"/>
        </w:rPr>
        <w:t xml:space="preserve"> Δεν πρόκειται για διαφημιστικό υλικό.</w:t>
      </w:r>
      <w:r>
        <w:rPr xmlns:w="http://schemas.openxmlformats.org/wordprocessingml/2006/main">
          <w:rFonts w:ascii="Arial" w:cs="Arial" w:eastAsia="Arial" w:hAnsi="Arial"/>
          <w:sz w:val="16"/>
          <w:szCs w:val="16"/>
          <w:color w:val="auto"/>
        </w:rPr>
        <w:t xml:space="preserve"> Αυτές οι πληροφορίες απαιτούνται από το νόμο για να σας βοηθήσουν να κατανοήσετε τη φύση, τον κίνδυνο, το κόστος και τα πιθανά οφέλη και τις απώλειες αυτού του προϊόντος και για να σας βοηθήσουν να το συγκρίνετε με άλλα προϊόντα.</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Προϊόν</w:t>
      </w:r>
    </w:p>
    <w:p>
      <w:pPr>
        <w:spacing w:after="0" w:line="27" w:lineRule="exact"/>
        <w:rPr>
          <w:sz w:val="24"/>
          <w:szCs w:val="24"/>
          <w:color w:val="auto"/>
        </w:rPr>
      </w:pPr>
    </w:p>
    <w:p>
      <w:pPr xmlns:w="http://schemas.openxmlformats.org/wordprocessingml/2006/main">
        <w:jc w:val="both"/>
        <w:spacing w:after="0" w:line="245" w:lineRule="auto"/>
        <w:rPr>
          <w:sz w:val="20"/>
          <w:szCs w:val="20"/>
          <w:color w:val="auto"/>
        </w:rPr>
      </w:pPr>
      <w:r>
        <w:rPr xmlns:w="http://schemas.openxmlformats.org/wordprocessingml/2006/main">
          <w:rFonts w:ascii="Arial" w:cs="Arial" w:eastAsia="Arial" w:hAnsi="Arial"/>
          <w:sz w:val="16"/>
          <w:szCs w:val="16"/>
          <w:b w:val="1"/>
          <w:bCs w:val="1"/>
          <w:color w:val="auto"/>
        </w:rPr>
        <w:t xml:space="preserve">iShares S&amp;P 500 Information Technology Sector ΟΣΕΚΑ ETF</w:t>
      </w:r>
      <w:r>
        <w:rPr xmlns:w="http://schemas.openxmlformats.org/wordprocessingml/2006/main">
          <w:rFonts w:ascii="Arial" w:cs="Arial" w:eastAsia="Arial" w:hAnsi="Arial"/>
          <w:sz w:val="16"/>
          <w:szCs w:val="16"/>
          <w:color w:val="auto"/>
        </w:rPr>
        <w:t xml:space="preserve"> (το "Fund"), </w:t>
      </w:r>
      <w:r>
        <w:rPr xmlns:w="http://schemas.openxmlformats.org/wordprocessingml/2006/main">
          <w:rFonts w:ascii="Arial" w:cs="Arial" w:eastAsia="Arial" w:hAnsi="Arial"/>
          <w:sz w:val="16"/>
          <w:szCs w:val="16"/>
          <w:b w:val="1"/>
          <w:bCs w:val="1"/>
          <w:color w:val="auto"/>
        </w:rPr>
        <w:t xml:space="preserve">USD Accu</w:t>
      </w:r>
      <w:r>
        <w:rPr xmlns:w="http://schemas.openxmlformats.org/wordprocessingml/2006/main">
          <w:rFonts w:ascii="Arial" w:cs="Arial" w:eastAsia="Arial" w:hAnsi="Arial"/>
          <w:sz w:val="16"/>
          <w:szCs w:val="16"/>
          <w:color w:val="auto"/>
        </w:rPr>
        <w:t xml:space="preserve"> (η "Share Class"), ISIN:</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b w:val="1"/>
          <w:bCs w:val="1"/>
          <w:color w:val="auto"/>
        </w:rPr>
        <w:t xml:space="preserve">Ο IE00B3WJKG14</w:t>
      </w:r>
      <w:r>
        <w:rPr xmlns:w="http://schemas.openxmlformats.org/wordprocessingml/2006/main">
          <w:rFonts w:ascii="Arial" w:cs="Arial" w:eastAsia="Arial" w:hAnsi="Arial"/>
          <w:sz w:val="16"/>
          <w:szCs w:val="16"/>
          <w:color w:val="auto"/>
        </w:rPr>
        <w:t xml:space="preserve">, έχει άδεια στην Ιρλανδία και έχει ιδρυθεί από την BlackRock Asset Management Ireland Limited (η "Διευθύνουσα Εταιρεία"), η οποία είναι ενσωματωμένη στον όμιλο BlackRock ck, Inc.</w:t>
      </w:r>
    </w:p>
    <w:p>
      <w:pPr>
        <w:spacing w:after="0" w:line="1" w:lineRule="exact"/>
        <w:rPr>
          <w:sz w:val="24"/>
          <w:szCs w:val="24"/>
          <w:color w:val="auto"/>
        </w:rPr>
      </w:pPr>
    </w:p>
    <w:p>
      <w:pPr xmlns:w="http://schemas.openxmlformats.org/wordprocessingml/2006/main">
        <w:jc w:val="both"/>
        <w:ind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Η εταιρεία διαχείρισης έχει λάβει άδεια λειτουργίας στην Ιρλανδία και τελεί υπό τη ρύθμιση της Central Bank of Ireland (εφεξής η "CBI").</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Η CBI είναι υπεύθυνη για την εποπτεία της εταιρείας διαχείρισης κατά την έννοια του παρόντος εγγράφου βασικών πληροφοριών.</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Για περισσότερες πληροφορίες, επισκεφθείτε τη διεύθυνση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ή καλέστε </w:t>
      </w:r>
      <w:r>
        <w:rPr xmlns:w="http://schemas.openxmlformats.org/wordprocessingml/2006/main">
          <w:rFonts w:ascii="Arial" w:cs="Arial" w:eastAsia="Arial" w:hAnsi="Arial"/>
          <w:sz w:val="16"/>
          <w:szCs w:val="16"/>
          <w:b w:val="1"/>
          <w:bCs w:val="1"/>
          <w:color w:val="auto"/>
        </w:rPr>
        <w:t xml:space="preserve">+353 1 612 3394</w:t>
      </w:r>
      <w:r>
        <w:rPr xmlns:w="http://schemas.openxmlformats.org/wordprocessingml/2006/main">
          <w:rFonts w:ascii="Arial" w:cs="Arial" w:eastAsia="Arial" w:hAnsi="Arial"/>
          <w:sz w:val="16"/>
          <w:szCs w:val="16"/>
          <w:color w:val="auto"/>
        </w:rPr>
        <w:t xml:space="preserve">.</w:t>
      </w:r>
      <w:r>
        <w:rPr xmlns:w="http://schemas.openxmlformats.org/wordprocessingml/2006/main">
          <w:rFonts w:ascii="Arial" w:cs="Arial" w:eastAsia="Arial" w:hAnsi="Arial"/>
          <w:sz w:val="16"/>
          <w:szCs w:val="16"/>
          <w:color w:val="auto"/>
        </w:rPr>
        <w:t xml:space="preserve"> Το παρόν έγγραφο συντάχθηκε στις 01 Ιανουαρίου 2023.</w:t>
      </w:r>
    </w:p>
    <w:p>
      <w:pPr>
        <w:spacing w:after="0" w:line="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Τι είδους προϊόν είναι αυτό;</w:t>
      </w:r>
    </w:p>
    <w:p>
      <w:pPr>
        <w:spacing w:after="0" w:line="27" w:lineRule="exact"/>
        <w:rPr>
          <w:sz w:val="24"/>
          <w:szCs w:val="24"/>
          <w:color w:val="auto"/>
        </w:rPr>
      </w:pPr>
    </w:p>
    <w:p>
      <w:pPr xmlns:w="http://schemas.openxmlformats.org/wordprocessingml/2006/main">
        <w:jc w:val="both"/>
        <w:ind w:right="40"/>
        <w:spacing w:after="0" w:line="241" w:lineRule="auto"/>
        <w:rPr>
          <w:sz w:val="20"/>
          <w:szCs w:val="20"/>
          <w:color w:val="auto"/>
        </w:rPr>
      </w:pPr>
      <w:r>
        <w:rPr xmlns:w="http://schemas.openxmlformats.org/wordprocessingml/2006/main">
          <w:rFonts w:ascii="Arial" w:cs="Arial" w:eastAsia="Arial" w:hAnsi="Arial"/>
          <w:sz w:val="16"/>
          <w:szCs w:val="16"/>
          <w:b w:val="1"/>
          <w:bCs w:val="1"/>
          <w:color w:val="auto"/>
        </w:rPr>
        <w:t xml:space="preserve">Τύπος:</w:t>
      </w:r>
      <w:r>
        <w:rPr xmlns:w="http://schemas.openxmlformats.org/wordprocessingml/2006/main">
          <w:rFonts w:ascii="Arial" w:cs="Arial" w:eastAsia="Arial" w:hAnsi="Arial"/>
          <w:sz w:val="16"/>
          <w:szCs w:val="16"/>
          <w:color w:val="auto"/>
        </w:rPr>
        <w:t xml:space="preserve"> Το αμοιβαίο κεφάλαιο είναι ένα επιμέρους κεφάλαιο της iShares V plc, μιας εταιρείας Umbrella με έδρα την Ιρλανδία, που έχει εγκριθεί από την Central Bank of Ireland ως επενδυτικός όμιλος σε τίτλους ("ΟΣΕΚΑ").</w:t>
      </w:r>
    </w:p>
    <w:p>
      <w:pPr xmlns:w="http://schemas.openxmlformats.org/wordprocessingml/2006/main">
        <w:jc w:val="both"/>
        <w:ind w:right="40"/>
        <w:spacing w:after="0" w:line="249" w:lineRule="auto"/>
        <w:rPr>
          <w:sz w:val="20"/>
          <w:szCs w:val="20"/>
          <w:color w:val="auto"/>
        </w:rPr>
      </w:pPr>
      <w:r>
        <w:rPr xmlns:w="http://schemas.openxmlformats.org/wordprocessingml/2006/main">
          <w:rFonts w:ascii="Arial" w:cs="Arial" w:eastAsia="Arial" w:hAnsi="Arial"/>
          <w:sz w:val="16"/>
          <w:szCs w:val="16"/>
          <w:b w:val="1"/>
          <w:bCs w:val="1"/>
          <w:color w:val="auto"/>
        </w:rPr>
        <w:t xml:space="preserve">Διάρκεια:</w:t>
      </w:r>
      <w:r>
        <w:rPr xmlns:w="http://schemas.openxmlformats.org/wordprocessingml/2006/main">
          <w:rFonts w:ascii="Arial" w:cs="Arial" w:eastAsia="Arial" w:hAnsi="Arial"/>
          <w:sz w:val="16"/>
          <w:szCs w:val="16"/>
          <w:color w:val="auto"/>
        </w:rPr>
        <w:t xml:space="preserve"> Το Ταμείο δεν έχει καθορισμένη διάρκεια ζωής ή διάρκεια.</w:t>
      </w:r>
      <w:r>
        <w:rPr xmlns:w="http://schemas.openxmlformats.org/wordprocessingml/2006/main">
          <w:rFonts w:ascii="Arial" w:cs="Arial" w:eastAsia="Arial" w:hAnsi="Arial"/>
          <w:sz w:val="16"/>
          <w:szCs w:val="16"/>
          <w:color w:val="auto"/>
        </w:rPr>
        <w:t xml:space="preserve"> Ωστόσο, υπό ορισμένες συνθήκες, όπως περιγράφεται στο ενημερωτικό δελτίο πωλήσεων του Ταμείου, το Ταμείο μπορεί να καταγγελθεί μονομερώς μετά από γραπτή κοινοποίηση στους μεριδιούχους, με την επιφύλαξη της συμμόρφωσης με το ενημερωτικό δελτίο πωλήσεων του Ταμείου και τους ισχύοντες κανόνες.</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Στόχοι</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-69215</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9"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είναι μια κατηγορία μετοχών ενός ταμείου που, μέσω ενός συνδυασμού αύξησης κεφαλαίου και αποδόσεων επί των περιουσιακών στοιχείων του ταμείου, αποσκοπεί στην επίτευξη απόδοσης της επένδυσής σας, η οποία αντανακλά την απόδοση του δείκτη αναφοράς του S&amp;P 500 Capped 35/20 Information Technology Index.</w:t>
      </w:r>
    </w:p>
    <w:p>
      <w:pPr>
        <w:spacing w:after="0" w:line="1" w:lineRule="exact"/>
        <w:rPr>
          <w:sz w:val="24"/>
          <w:szCs w:val="24"/>
          <w:color w:val="auto"/>
        </w:rPr>
      </w:pPr>
    </w:p>
    <w:p>
      <w:pPr xmlns:w="http://schemas.openxmlformats.org/wordprocessingml/2006/main">
        <w:jc w:val="both"/>
        <w:ind w:left="260" w:right="40"/>
        <w:spacing w:after="0" w:line="262"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τελεί υπό παθητική διαχείριση από το ταμείο και, όπου είναι εφικτό και εφικτό, επενδύει σε συμμετοχικούς τίτλους (π.χ. μετοχές) που αποτελούν τον δείκτη.</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-211455</wp:posOffset>
            </wp:positionV>
            <wp:extent cx="71755" cy="787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8740"/>
                    </a:xfrm>
                    <a:prstGeom prst="rect">
                      <a:avLst/>
                    </a:prstGeom>
                    <a:noFill/>
                  </pic:spPr>
                </pic:pic>
              </a:graphicData>
            </a:graphic>
          </wp:anchor>
        </w:drawing>
      </w: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Ο δείκτης μετρά την απόδοση των αποθεμάτων στο δείκτη S&amp;P 500 που αποτελούν μέρος του τομέα υγειονομικής περίθαλψης σύμφωνα με το παγκόσμιο βιομηχανικό πρότυπο ταξινόμησης (GICS).</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Το S&amp;P 500 μετρά την απόδοση 500 μετοχών κορυφαίων επιχειρήσεων των ΗΠΑ σε κορυφαίους οικονομικούς τομείς των ΗΠΑ οι οποίοι πληρούν τα κριτήρια μεγέθους, ρευστότητας και ελεύθερης διασποράς της S&amp;P.</w:t>
      </w:r>
      <w:r>
        <w:rPr xmlns:w="http://schemas.openxmlformats.org/wordprocessingml/2006/main">
          <w:rFonts w:ascii="Arial" w:cs="Arial" w:eastAsia="Arial" w:hAnsi="Arial"/>
          <w:sz w:val="16"/>
          <w:szCs w:val="16"/>
          <w:color w:val="auto"/>
        </w:rPr>
        <w:t xml:space="preserve"> Ο τομέας της υγείας των GICS περιλαμβάνει σήμερα δύο βασικούς βιομηχανικούς τομείς.</w:t>
      </w:r>
      <w:r>
        <w:rPr xmlns:w="http://schemas.openxmlformats.org/wordprocessingml/2006/main">
          <w:rFonts w:ascii="Arial" w:cs="Arial" w:eastAsia="Arial" w:hAnsi="Arial"/>
          <w:sz w:val="16"/>
          <w:szCs w:val="16"/>
          <w:color w:val="auto"/>
        </w:rPr>
        <w:t xml:space="preserve"> Η πρώτη καλύπτει επιχειρήσεις που κατασκευάζουν εξοπλισμό και περίθαλψη υγείας ή παρέχουν υπηρεσίες υγείας, όπως διανομείς προϊόντων υγείας, παρόχους βασικών υπηρεσιών υγείας, και ιδιοκτήτες και χειριστές εγκαταστάσεων και οργανισμών υγείας.</w:t>
      </w:r>
      <w:r>
        <w:rPr xmlns:w="http://schemas.openxmlformats.org/wordprocessingml/2006/main">
          <w:rFonts w:ascii="Arial" w:cs="Arial" w:eastAsia="Arial" w:hAnsi="Arial"/>
          <w:sz w:val="16"/>
          <w:szCs w:val="16"/>
          <w:color w:val="auto"/>
        </w:rPr>
        <w:t xml:space="preserve"> Η δεύτερη αποτελείται από εταιρείες που δραστηριοποιούνται κυρίως στην έρευνα, ανάπτυξη, παραγωγή και εμπορία φαρμακευτικών και βιοτεχνολογικών προϊόντων.</w:t>
      </w:r>
      <w:r>
        <w:rPr xmlns:w="http://schemas.openxmlformats.org/wordprocessingml/2006/main">
          <w:rFonts w:ascii="Arial" w:cs="Arial" w:eastAsia="Arial" w:hAnsi="Arial"/>
          <w:sz w:val="16"/>
          <w:szCs w:val="16"/>
          <w:color w:val="auto"/>
        </w:rPr>
        <w:t xml:space="preserve"> Περαιτέρω λεπτομέρειες περιέχονται στο ενημερωτικό δελτίο πωλήσεων.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-77470</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Το Ταμείο προτίθεται να αναπαράγει τον δείκτη διατηρώντας τους συμμετοχικούς τίτλους που αποτελούν τον δείκτη σε μετοχές παρόμοιες με εκείνες του δείκτη.</w:t>
      </w:r>
    </w:p>
    <w:p>
      <w:pPr>
        <w:spacing w:after="0" w:line="27" w:lineRule="exact"/>
        <w:rPr>
          <w:sz w:val="24"/>
          <w:szCs w:val="24"/>
          <w:color w:val="auto"/>
        </w:rPr>
      </w:pPr>
    </w:p>
    <w:p>
      <w:pPr xmlns:w="http://schemas.openxmlformats.org/wordprocessingml/2006/main">
        <w:jc w:val="both"/>
        <w:ind w:left="260" w:right="40"/>
        <w:spacing w:after="0" w:line="262" w:lineRule="auto"/>
        <w:rPr>
          <w:sz w:val="20"/>
          <w:szCs w:val="20"/>
          <w:color w:val="auto"/>
        </w:rPr>
      </w:pPr>
      <w:r>
        <w:rPr xmlns:w="http://schemas.openxmlformats.org/wordprocessingml/2006/main">
          <w:rFonts w:ascii="Arial" w:cs="Arial" w:eastAsia="Arial" w:hAnsi="Arial"/>
          <w:sz w:val="16"/>
          <w:szCs w:val="16"/>
          <w:color w:val="auto"/>
        </w:rPr>
        <w:t xml:space="preserve">Το Ταμείο μπορεί επίσης να προβεί σε βραχυπρόθεσμο δανεισμό των επενδύσεών του σε ορισμένα επιλέξιμα τρίτα μέρη, προκειμένου να δημιουργήσει πρόσθετα έσοδα και να αντισταθμίσει τις δαπάνες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-211455</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8" w:lineRule="auto"/>
        <w:rPr>
          <w:sz w:val="20"/>
          <w:szCs w:val="20"/>
          <w:color w:val="auto"/>
        </w:rPr>
      </w:pPr>
      <w:r>
        <w:rPr xmlns:w="http://schemas.openxmlformats.org/wordprocessingml/2006/main">
          <w:rFonts w:ascii="Arial" w:cs="Arial" w:eastAsia="Arial" w:hAnsi="Arial"/>
          <w:sz w:val="16"/>
          <w:szCs w:val="16"/>
          <w:color w:val="auto"/>
        </w:rPr>
        <w:t xml:space="preserve">Η εταιρεία διαχείρισης επενδύσεων μπορεί να χρησιμοποιεί παράγωγα χρηματοπιστωτικά μέσα (δηλαδή επενδύσεις των οποίων οι τιμές βασίζονται σε ένα ή περισσότερα υποκείμενα περιουσιακά στοιχεία) για την επίτευξη του επενδυτικού στόχου του ταμείου.</w:t>
      </w:r>
      <w:r>
        <w:rPr xmlns:w="http://schemas.openxmlformats.org/wordprocessingml/2006/main">
          <w:rFonts w:ascii="Arial" w:cs="Arial" w:eastAsia="Arial" w:hAnsi="Arial"/>
          <w:sz w:val="16"/>
          <w:szCs w:val="16"/>
          <w:color w:val="auto"/>
        </w:rPr>
        <w:t xml:space="preserve"> Οι ΑΞΕ μπορούν να χρησιμοποιηθούν για σκοπούς άμεσων επενδύσεων.</w:t>
      </w:r>
      <w:r>
        <w:rPr xmlns:w="http://schemas.openxmlformats.org/wordprocessingml/2006/main">
          <w:rFonts w:ascii="Arial" w:cs="Arial" w:eastAsia="Arial" w:hAnsi="Arial"/>
          <w:sz w:val="16"/>
          <w:szCs w:val="16"/>
          <w:color w:val="auto"/>
        </w:rPr>
        <w:t xml:space="preserve"> Η χρήση της FD αναμένεται να είναι περιορισμένη.</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-333375</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8" w:lineRule="auto"/>
        <w:rPr>
          <w:sz w:val="20"/>
          <w:szCs w:val="20"/>
          <w:color w:val="auto"/>
        </w:rPr>
      </w:pPr>
      <w:r>
        <w:rPr xmlns:w="http://schemas.openxmlformats.org/wordprocessingml/2006/main">
          <w:rFonts w:ascii="Arial" w:cs="Arial" w:eastAsia="Arial" w:hAnsi="Arial"/>
          <w:sz w:val="16"/>
          <w:szCs w:val="16"/>
          <w:color w:val="auto"/>
        </w:rPr>
        <w:t xml:space="preserve">Η τιμή των τίτλων μετοχικού κεφαλαίου κυμαίνεται σε καθημερινή βάση και μπορεί να επηρεαστεί από παράγοντες που επηρεάζουν τις επιδόσεις των μεμονωμένων εταιρειών που εκδίδουν τους τίτλους, τις καθημερινές κινήσεις του χρηματιστηρίου και τις μεγάλες οικονομικές και πολιτικές εξελίξεις που μπορεί με τη σειρά τους να επηρεάσουν την αξία της επένδυσής σας.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-333375</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61" w:lineRule="auto"/>
        <w:rPr>
          <w:sz w:val="20"/>
          <w:szCs w:val="20"/>
          <w:color w:val="auto"/>
        </w:rPr>
      </w:pPr>
      <w:r>
        <w:rPr xmlns:w="http://schemas.openxmlformats.org/wordprocessingml/2006/main">
          <w:rFonts w:ascii="Arial" w:cs="Arial" w:eastAsia="Arial" w:hAnsi="Arial"/>
          <w:sz w:val="16"/>
          <w:szCs w:val="16"/>
          <w:color w:val="auto"/>
        </w:rPr>
        <w:t xml:space="preserve">Η απόδοση της επένδυσής σας στο ταμείο είναι ευθέως ανάλογη με την αξία των υποκείμενων περιουσιακών στοιχείων του ταμείου, μείον το κόστος (βλέπε παρακάτω στη στήλη «Τι κόστος προκύπτει;»).</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-210820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62" w:lineRule="auto"/>
        <w:rPr>
          <w:sz w:val="20"/>
          <w:szCs w:val="20"/>
          <w:color w:val="auto"/>
        </w:rPr>
      </w:pPr>
      <w:r>
        <w:rPr xmlns:w="http://schemas.openxmlformats.org/wordprocessingml/2006/main">
          <w:rFonts w:ascii="Arial" w:cs="Arial" w:eastAsia="Arial" w:hAnsi="Arial"/>
          <w:sz w:val="16"/>
          <w:szCs w:val="16"/>
          <w:color w:val="auto"/>
        </w:rPr>
        <w:t xml:space="preserve">Η σχέση μεταξύ της απόδοσης του περιουσιακού στοιχείου σας, των παραγόντων που το επηρεάζουν, και της διάρκειας για την οποία θα πρέπει να διατηρήσετε το περιουσιακό σας στοιχείο καλύπτεται στο κεφάλαιο παρακάτω (δείτε "Πόσο καιρό θα πρέπει να κρατήσω το περιουσιακό στοιχείο και μπορώ να αποσύρω χρήματα νωρίς;").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-211455</wp:posOffset>
            </wp:positionV>
            <wp:extent cx="71755" cy="717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-73025</wp:posOffset>
            </wp:positionV>
            <wp:extent cx="71755" cy="717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78" w:lineRule="auto"/>
        <w:rPr>
          <w:sz w:val="20"/>
          <w:szCs w:val="20"/>
          <w:color w:val="auto"/>
        </w:rPr>
      </w:pPr>
      <w:r>
        <w:rPr xmlns:w="http://schemas.openxmlformats.org/wordprocessingml/2006/main">
          <w:rFonts w:ascii="Arial" w:cs="Arial" w:eastAsia="Arial" w:hAnsi="Arial"/>
          <w:sz w:val="16"/>
          <w:szCs w:val="16"/>
          <w:color w:val="auto"/>
        </w:rPr>
        <w:t xml:space="preserve">Για περισσότερες πληροφορίες σχετικά με το Ταμείο, δείτε τις τελευταίες ετήσιες και εξαμηνιαίες εκθέσεις από την iShares V plc.</w:t>
      </w:r>
      <w:r>
        <w:rPr xmlns:w="http://schemas.openxmlformats.org/wordprocessingml/2006/main">
          <w:rFonts w:ascii="Arial" w:cs="Arial" w:eastAsia="Arial" w:hAnsi="Arial"/>
          <w:sz w:val="16"/>
          <w:szCs w:val="16"/>
          <w:color w:val="auto"/>
        </w:rPr>
        <w:t xml:space="preserve"> Τα έγγραφα αυτά διατίθενται δωρεάν στα αγγλικά και σε διάφορες άλλες γλώσσες.</w:t>
      </w:r>
      <w:r>
        <w:rPr xmlns:w="http://schemas.openxmlformats.org/wordprocessingml/2006/main">
          <w:rFonts w:ascii="Arial" w:cs="Arial" w:eastAsia="Arial" w:hAnsi="Arial"/>
          <w:sz w:val="16"/>
          <w:szCs w:val="16"/>
          <w:color w:val="auto"/>
        </w:rPr>
        <w:t xml:space="preserve"> Οι πληροφορίες αυτές, καθώς και άλλες (πρακτικές) πληροφορίες, συμπεριλαμβανομένων των τιμών των μετοχών, μπορούν να ληφθούν στον ιστότοπο iShares στο www.ishares.com, καλώντας στο +44 (0)845 357 7000 ή επικοινωνώντας με τον μεσίτη του.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-361950</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06" w:lineRule="exact"/>
        <w:rPr>
          <w:sz w:val="24"/>
          <w:szCs w:val="24"/>
          <w:color w:val="auto"/>
        </w:rPr>
      </w:pP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τους θα κεφαλαιοποιούν μετοχές (δηλαδή, το εισόδημα θα περιλαμβάνεται στην αξία της μετοχής).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-72390</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της είναι εκφρασμένες σε δολάρια ΗΠΑ, το βασικό νόμισμα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-72390</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2" w:lineRule="exact"/>
        <w:rPr>
          <w:sz w:val="24"/>
          <w:szCs w:val="24"/>
          <w:color w:val="auto"/>
        </w:rPr>
      </w:pPr>
    </w:p>
    <w:p>
      <w:pPr xmlns:w="http://schemas.openxmlformats.org/wordprocessingml/2006/main">
        <w:jc w:val="both"/>
        <w:ind w:left="280" w:right="60"/>
        <w:spacing w:after="0" w:line="255" w:lineRule="auto"/>
        <w:rPr>
          <w:sz w:val="20"/>
          <w:szCs w:val="20"/>
          <w:color w:val="auto"/>
        </w:rPr>
      </w:pPr>
      <w:r>
        <w:rPr xmlns:w="http://schemas.openxmlformats.org/wordprocessingml/2006/main">
          <w:rFonts w:ascii="Arial" w:cs="Arial" w:eastAsia="Arial" w:hAnsi="Arial"/>
          <w:sz w:val="16"/>
          <w:szCs w:val="16"/>
          <w:color w:val="auto"/>
        </w:rPr>
        <w:t xml:space="preserve">Οι μετοχές είναι εισηγμένες σε ένα ή περισσότερα χρηματιστήρια και μπορούν να συναλλάσσονται σε νομίσματα διαφορετικά από το βασικό νόμισμα.</w:t>
      </w:r>
      <w:r>
        <w:rPr xmlns:w="http://schemas.openxmlformats.org/wordprocessingml/2006/main">
          <w:rFonts w:ascii="Arial" w:cs="Arial" w:eastAsia="Arial" w:hAnsi="Arial"/>
          <w:sz w:val="16"/>
          <w:szCs w:val="16"/>
          <w:color w:val="auto"/>
        </w:rPr>
        <w:t xml:space="preserve"> Αυτή η διαφορά στο νόμισμα μπορεί να επηρεάσει την απόδοση των μετοχών σας.</w:t>
      </w:r>
      <w:r>
        <w:rPr xmlns:w="http://schemas.openxmlformats.org/wordprocessingml/2006/main">
          <w:rFonts w:ascii="Arial" w:cs="Arial" w:eastAsia="Arial" w:hAnsi="Arial"/>
          <w:sz w:val="16"/>
          <w:szCs w:val="16"/>
          <w:color w:val="auto"/>
        </w:rPr>
        <w:t xml:space="preserve"> Υπό κανονικές συνθήκες, μόνο εξουσιοδοτημένοι συμμετέχοντες (π.χ. επιλεγμένα χρηματοπιστωτικά ιδρύματα) μπορούν να συναλλάσσονται μετοχές (ή δικαιώματα σε μετοχές) απευθείας με το ταμείο.</w:t>
      </w:r>
      <w:r>
        <w:rPr xmlns:w="http://schemas.openxmlformats.org/wordprocessingml/2006/main">
          <w:rFonts w:ascii="Arial" w:cs="Arial" w:eastAsia="Arial" w:hAnsi="Arial"/>
          <w:sz w:val="16"/>
          <w:szCs w:val="16"/>
          <w:color w:val="auto"/>
        </w:rPr>
        <w:t xml:space="preserve"> Οι λοιποί επενδυτές μπορούν να διαπραγματεύονται μετοχές (ή δικαιώματα σε μετοχές) σε καθημερινή βάση μέσω ενδιάμεσου φορέα σε χρηματιστήριο(-α) στο οποίο(-α) διαπραγματεύονται οι μετοχές.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-6985</wp:posOffset>
            </wp:positionH>
            <wp:positionV relativeFrom="paragraph">
              <wp:posOffset>-453390</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right="22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Όμιλος-στόχος λιανικής:</w:t>
      </w:r>
      <w:r>
        <w:rPr xmlns:w="http://schemas.openxmlformats.org/wordprocessingml/2006/main">
          <w:rFonts w:ascii="Arial" w:cs="Arial" w:eastAsia="Arial" w:hAnsi="Arial"/>
          <w:sz w:val="16"/>
          <w:szCs w:val="16"/>
          <w:color w:val="auto"/>
        </w:rPr>
        <w:t xml:space="preserve"> Το κεφάλαιο προορίζεται για ιδιώτες επενδυτές που μπορούν να αντέξουν ζημίες μέχρι το ποσό που επενδύεται στο ταμείο (βλέπε "Πόσο καιρό θα πρέπει να κρατήσει το περιουσιακό στοιχείο και μπορώ να αποσύρω χρήματα νωρίς;").</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Ασφάλιση:</w:t>
      </w:r>
      <w:r>
        <w:rPr xmlns:w="http://schemas.openxmlformats.org/wordprocessingml/2006/main">
          <w:rFonts w:ascii="Arial" w:cs="Arial" w:eastAsia="Arial" w:hAnsi="Arial"/>
          <w:sz w:val="16"/>
          <w:szCs w:val="16"/>
          <w:color w:val="auto"/>
        </w:rPr>
        <w:t xml:space="preserve"> Το ταμείο δεν προσφέρει ασφαλιστικές παροχές.</w:t>
      </w:r>
    </w:p>
    <w:p>
      <w:pPr>
        <w:sectPr>
          <w:pgSz w:w="11900" w:h="16838" w:orient="portrait"/>
          <w:cols w:equalWidth="0" w:num="1">
            <w:col w:w="10760"/>
          </w:cols>
          <w:pgMar w:left="580" w:top="447" w:right="559" w:bottom="497"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9" w:lineRule="exact"/>
        <w:rPr>
          <w:sz w:val="24"/>
          <w:szCs w:val="24"/>
          <w:color w:val="auto"/>
        </w:rPr>
      </w:pPr>
    </w:p>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60"/>
          </w:cols>
          <w:pgMar w:left="580" w:top="447" w:right="559" w:bottom="497"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Ποιοι είναι οι κίνδυνοι και τι θα μπορούσα να πάρω ως αντάλλαγμα;</w:t>
      </w:r>
    </w:p>
    <w:p>
      <w:pPr>
        <w:spacing w:after="0" w:line="29"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-3175</wp:posOffset>
            </wp:positionV>
            <wp:extent cx="6839585" cy="895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93" w:lineRule="exact"/>
        <w:rPr>
          <w:sz w:val="20"/>
          <w:szCs w:val="20"/>
          <w:color w:val="auto"/>
        </w:rPr>
      </w:pPr>
    </w:p>
    <w:p>
      <w:pPr xmlns:w="http://schemas.openxmlformats.org/wordprocessingml/2006/main">
        <w:ind w:left="20"/>
        <w:spacing w:after="0"/>
        <w:tabs>
          <w:tab w:leader="none" w:pos="9720" w:val="left"/>
        </w:tabs>
        <w:rPr>
          <w:sz w:val="20"/>
          <w:szCs w:val="20"/>
          <w:color w:val="auto"/>
        </w:rPr>
      </w:pPr>
      <w:r>
        <w:rPr xmlns:w="http://schemas.openxmlformats.org/wordprocessingml/2006/main">
          <w:rFonts w:ascii="Arial" w:cs="Arial" w:eastAsia="Arial" w:hAnsi="Arial"/>
          <w:sz w:val="14"/>
          <w:szCs w:val="14"/>
          <w:b w:val="1"/>
          <w:bCs w:val="1"/>
          <w:color w:val="auto"/>
        </w:rPr>
        <w:t xml:space="preserve">Μείωση κινδύνου</w:t>
        <w:tab xmlns:w="http://schemas.openxmlformats.org/wordprocessingml/2006/main"/>
      </w:r>
      <w:r>
        <w:rPr xmlns:w="http://schemas.openxmlformats.org/wordprocessingml/2006/main">
          <w:rFonts w:ascii="Arial" w:cs="Arial" w:eastAsia="Arial" w:hAnsi="Arial"/>
          <w:sz w:val="13"/>
          <w:szCs w:val="13"/>
          <w:b w:val="1"/>
          <w:bCs w:val="1"/>
          <w:color w:val="auto"/>
        </w:rPr>
        <w:t xml:space="preserve">Υψηλότερος κίνδυνος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55245</wp:posOffset>
            </wp:positionV>
            <wp:extent cx="6840220" cy="69596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840220" cy="695960"/>
                    </a:xfrm>
                    <a:prstGeom prst="rect">
                      <a:avLst/>
                    </a:prstGeom>
                    <a:noFill/>
                  </pic:spPr>
                </pic:pic>
              </a:graphicData>
            </a:graphic>
          </wp:anchor>
        </w:drawing>
      </w:r>
    </w:p>
    <w:p>
      <w:pPr>
        <w:spacing w:after="0" w:line="200" w:lineRule="exact"/>
        <w:rPr>
          <w:sz w:val="20"/>
          <w:szCs w:val="20"/>
          <w:color w:val="auto"/>
        </w:rPr>
      </w:pPr>
    </w:p>
    <w:p>
      <w:pPr>
        <w:spacing w:after="0" w:line="350" w:lineRule="exact"/>
        <w:rPr>
          <w:sz w:val="20"/>
          <w:szCs w:val="20"/>
          <w:color w:val="auto"/>
        </w:rPr>
      </w:pPr>
    </w:p>
    <w:p>
      <w:pPr xmlns:w="http://schemas.openxmlformats.org/wordprocessingml/2006/main">
        <w:ind w:left="1420" w:right="60"/>
        <w:spacing w:after="0" w:line="329" w:lineRule="auto"/>
        <w:rPr>
          <w:sz w:val="20"/>
          <w:szCs w:val="20"/>
          <w:color w:val="auto"/>
        </w:rPr>
      </w:pPr>
      <w:r>
        <w:rPr xmlns:w="http://schemas.openxmlformats.org/wordprocessingml/2006/main">
          <w:rFonts w:ascii="Arial" w:cs="Arial" w:eastAsia="Arial" w:hAnsi="Arial"/>
          <w:sz w:val="16"/>
          <w:szCs w:val="16"/>
          <w:b w:val="1"/>
          <w:bCs w:val="1"/>
          <w:color w:val="auto"/>
        </w:rPr>
        <w:t xml:space="preserve">Αυτός ο δείκτης κινδύνου βασίζεται στην υπόθεση ότι θα κρατήσετε το προϊόν για 5 χρόνια.</w:t>
      </w:r>
      <w:r>
        <w:rPr xmlns:w="http://schemas.openxmlformats.org/wordprocessingml/2006/main">
          <w:rFonts w:ascii="Arial" w:cs="Arial" w:eastAsia="Arial" w:hAnsi="Arial"/>
          <w:sz w:val="16"/>
          <w:szCs w:val="16"/>
          <w:b w:val="1"/>
          <w:bCs w:val="1"/>
          <w:color w:val="auto"/>
        </w:rPr>
        <w:t xml:space="preserve"> Αν διαλύσετε το περιουσιακό στοιχείο νωρίς, ο πραγματικός κίνδυνος μπορεί να διαφέρει σημαντικά, και μπορεί να λάβετε λιγότερο πίσω.</w:t>
      </w:r>
    </w:p>
    <w:p>
      <w:pPr>
        <w:spacing w:after="0" w:line="108" w:lineRule="exact"/>
        <w:rPr>
          <w:sz w:val="20"/>
          <w:szCs w:val="20"/>
          <w:color w:val="auto"/>
        </w:rPr>
      </w:pPr>
    </w:p>
    <w:p>
      <w:pPr xmlns:w="http://schemas.openxmlformats.org/wordprocessingml/2006/main">
        <w:jc w:val="both"/>
        <w:ind w:left="280" w:right="60"/>
        <w:spacing w:after="0" w:line="264" w:lineRule="auto"/>
        <w:rPr>
          <w:sz w:val="20"/>
          <w:szCs w:val="20"/>
          <w:color w:val="auto"/>
        </w:rPr>
      </w:pPr>
      <w:r>
        <w:rPr xmlns:w="http://schemas.openxmlformats.org/wordprocessingml/2006/main">
          <w:rFonts w:ascii="Arial" w:cs="Arial" w:eastAsia="Arial" w:hAnsi="Arial"/>
          <w:sz w:val="16"/>
          <w:szCs w:val="16"/>
          <w:color w:val="auto"/>
        </w:rPr>
        <w:t xml:space="preserve">Ο γενικός δείκτης κινδύνου σας βοηθάει να αξιολογήσετε τον κίνδυνο που σχετίζεται με αυτό το προϊόν σε σύγκριση με άλλα προϊόντα.</w:t>
      </w:r>
      <w:r>
        <w:rPr xmlns:w="http://schemas.openxmlformats.org/wordprocessingml/2006/main">
          <w:rFonts w:ascii="Arial" w:cs="Arial" w:eastAsia="Arial" w:hAnsi="Arial"/>
          <w:sz w:val="16"/>
          <w:szCs w:val="16"/>
          <w:color w:val="auto"/>
        </w:rPr>
        <w:t xml:space="preserve"> Δείχνει πόσο πιθανό είναι να χάσετε χρήματα από αυτό το προϊόν, επειδή οι αγορές εξελίσσονται με έναν ορισμένο τρόπο, ή επειδή δεν είμαστε σε θέση να σας πληρώσουμε.</w:t>
      </w:r>
    </w:p>
    <w:p>
      <w:pPr>
        <w:spacing w:after="0" w:line="1" w:lineRule="exact"/>
        <w:rPr>
          <w:sz w:val="20"/>
          <w:szCs w:val="20"/>
          <w:color w:val="auto"/>
        </w:rPr>
      </w:pPr>
    </w:p>
    <w:p>
      <w:pPr xmlns:w="http://schemas.openxmlformats.org/wordprocessingml/2006/main">
        <w:jc w:val="both"/>
        <w:ind w:left="280" w:right="60"/>
        <w:spacing w:after="0" w:line="268" w:lineRule="auto"/>
        <w:rPr>
          <w:sz w:val="20"/>
          <w:szCs w:val="20"/>
          <w:color w:val="auto"/>
        </w:rPr>
      </w:pPr>
      <w:r>
        <w:rPr xmlns:w="http://schemas.openxmlformats.org/wordprocessingml/2006/main">
          <w:rFonts w:ascii="Arial" w:cs="Arial" w:eastAsia="Arial" w:hAnsi="Arial"/>
          <w:sz w:val="16"/>
          <w:szCs w:val="16"/>
          <w:color w:val="auto"/>
        </w:rPr>
        <w:t xml:space="preserve">Κατατάξαμε αυτό το προϊόν σε κλίμακα από 1 έως 7 στην κατηγορία κινδύνου 5, όπου το 5 αντιστοιχεί σε μια κατηγορία μεσαίου-υψηλού κινδύνου.</w:t>
      </w:r>
      <w:r>
        <w:rPr xmlns:w="http://schemas.openxmlformats.org/wordprocessingml/2006/main">
          <w:rFonts w:ascii="Arial" w:cs="Arial" w:eastAsia="Arial" w:hAnsi="Arial"/>
          <w:sz w:val="16"/>
          <w:szCs w:val="16"/>
          <w:color w:val="auto"/>
        </w:rPr>
        <w:t xml:space="preserve"> Ο κίνδυνος δυνητικών ζημιών από μελλοντικές επιδόσεις ταξινομείται ως μέτριος - υψηλός.</w:t>
      </w:r>
      <w:r>
        <w:rPr xmlns:w="http://schemas.openxmlformats.org/wordprocessingml/2006/main">
          <w:rFonts w:ascii="Arial" w:cs="Arial" w:eastAsia="Arial" w:hAnsi="Arial"/>
          <w:sz w:val="16"/>
          <w:szCs w:val="16"/>
          <w:color w:val="auto"/>
        </w:rPr>
        <w:t xml:space="preserve"> Οι δυσμενείς συνθήκες της αγοράς θα μπορούσαν να επηρεάσουν την αξία του περιουσιακού σας στοιχείου.</w:t>
      </w:r>
      <w:r>
        <w:rPr xmlns:w="http://schemas.openxmlformats.org/wordprocessingml/2006/main">
          <w:rFonts w:ascii="Arial" w:cs="Arial" w:eastAsia="Arial" w:hAnsi="Arial"/>
          <w:sz w:val="16"/>
          <w:szCs w:val="16"/>
          <w:color w:val="auto"/>
        </w:rPr>
        <w:t xml:space="preserve"> Η εκτίμηση αυτή είναι αδικαιολόγητη, ενδέχεται να μεταβληθεί με την πάροδο του χρόνου και ενδέχεται να μην αποτελεί αξιόπιστη ένδειξη του μελλοντικού προφίλ κινδύνου του Ταμείου.</w:t>
      </w:r>
      <w:r>
        <w:rPr xmlns:w="http://schemas.openxmlformats.org/wordprocessingml/2006/main">
          <w:rFonts w:ascii="Arial" w:cs="Arial" w:eastAsia="Arial" w:hAnsi="Arial"/>
          <w:sz w:val="16"/>
          <w:szCs w:val="16"/>
          <w:color w:val="auto"/>
        </w:rPr>
        <w:t xml:space="preserve"> Η χαμηλότερη κατηγορία δεν μπορεί να εξομοιωθεί με περιουσιακό στοιχείο χωρίς κίνδυνο.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-478155</wp:posOffset>
            </wp:positionV>
            <wp:extent cx="71755" cy="717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8255</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16" w:lineRule="exact"/>
        <w:rPr>
          <w:sz w:val="20"/>
          <w:szCs w:val="20"/>
          <w:color w:val="auto"/>
        </w:rPr>
      </w:pPr>
    </w:p>
    <w:p>
      <w:pPr xmlns:w="http://schemas.openxmlformats.org/wordprocessingml/2006/main">
        <w:jc w:val="both"/>
        <w:ind w:left="280" w:right="60"/>
        <w:spacing w:after="0" w:line="264" w:lineRule="auto"/>
        <w:rPr>
          <w:sz w:val="20"/>
          <w:szCs w:val="20"/>
          <w:color w:val="auto"/>
        </w:rPr>
      </w:pPr>
      <w:r>
        <w:rPr xmlns:w="http://schemas.openxmlformats.org/wordprocessingml/2006/main">
          <w:rFonts w:ascii="Arial" w:cs="Arial" w:eastAsia="Arial" w:hAnsi="Arial"/>
          <w:sz w:val="16"/>
          <w:szCs w:val="16"/>
          <w:b w:val="1"/>
          <w:bCs w:val="1"/>
          <w:color w:val="auto"/>
        </w:rPr>
        <w:t xml:space="preserve">Σημειώστε τον κίνδυνο νομίσματος.</w:t>
      </w:r>
      <w:r>
        <w:rPr xmlns:w="http://schemas.openxmlformats.org/wordprocessingml/2006/main">
          <w:rFonts w:ascii="Arial" w:cs="Arial" w:eastAsia="Arial" w:hAnsi="Arial"/>
          <w:sz w:val="16"/>
          <w:szCs w:val="16"/>
          <w:color w:val="auto"/>
        </w:rPr>
        <w:t xml:space="preserve"> Αν λάβετε πληρωμές σε νόμισμα διαφορετικό από το βασικό νόμισμα του προϊόντος, η τελική απόδοση θα εξαρτηθεί από τη συναλλαγματική ισοτιμία μεταξύ των δύο νομισμάτων.</w:t>
      </w:r>
      <w:r>
        <w:rPr xmlns:w="http://schemas.openxmlformats.org/wordprocessingml/2006/main">
          <w:rFonts w:ascii="Arial" w:cs="Arial" w:eastAsia="Arial" w:hAnsi="Arial"/>
          <w:sz w:val="16"/>
          <w:szCs w:val="16"/>
          <w:color w:val="auto"/>
        </w:rPr>
        <w:t xml:space="preserve"> Ο κίνδυνος αυτός δεν λαμβάνεται υπόψη για τον προαναφερόμενο δείκτη.</w:t>
      </w:r>
    </w:p>
    <w:p>
      <w:pPr>
        <w:spacing w:after="0" w:line="1" w:lineRule="exact"/>
        <w:rPr>
          <w:sz w:val="20"/>
          <w:szCs w:val="20"/>
          <w:color w:val="auto"/>
        </w:rPr>
      </w:pPr>
    </w:p>
    <w:p>
      <w:pPr xmlns:w="http://schemas.openxmlformats.org/wordprocessingml/2006/main">
        <w:ind w:left="280" w:right="60"/>
        <w:spacing w:after="0" w:line="262" w:lineRule="auto"/>
        <w:rPr>
          <w:sz w:val="20"/>
          <w:szCs w:val="20"/>
          <w:color w:val="auto"/>
        </w:rPr>
      </w:pPr>
      <w:r>
        <w:rPr xmlns:w="http://schemas.openxmlformats.org/wordprocessingml/2006/main">
          <w:rFonts w:ascii="Arial" w:cs="Arial" w:eastAsia="Arial" w:hAnsi="Arial"/>
          <w:sz w:val="16"/>
          <w:szCs w:val="16"/>
          <w:color w:val="auto"/>
        </w:rPr>
        <w:t xml:space="preserve">Για περισσότερες πληροφορίες σχετικά με άλλους σημαντικούς κινδύνους που μπορεί να συνδέονται με το παρόν προϊόν, ανατρέξτε στο ενημερωτικό δελτίο ή τις γνωστοποιήσεις σύμφωνα με την οδηγία για τους ΔΟΕΕ.</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-211455</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-77470</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right="1420" w:hanging="9"/>
        <w:spacing w:after="0" w:line="283" w:lineRule="auto"/>
        <w:rPr>
          <w:sz w:val="20"/>
          <w:szCs w:val="20"/>
          <w:color w:val="auto"/>
        </w:rPr>
      </w:pPr>
      <w:r>
        <w:rPr xmlns:w="http://schemas.openxmlformats.org/wordprocessingml/2006/main">
          <w:rFonts w:ascii="Arial" w:cs="Arial" w:eastAsia="Arial" w:hAnsi="Arial"/>
          <w:sz w:val="16"/>
          <w:szCs w:val="16"/>
          <w:color w:val="auto"/>
        </w:rPr>
        <w:t xml:space="preserve">Αυτό το προϊόν δεν περιλαμβάνει την προστασία από μελλοντικές εξελίξεις της αγοράς, έτσι θα μπορούσε να χάσει το σύνολο ή μέρος του επενδυμένου κεφαλαίου.</w:t>
      </w:r>
      <w:r>
        <w:rPr xmlns:w="http://schemas.openxmlformats.org/wordprocessingml/2006/main">
          <w:rFonts w:ascii="Arial" w:cs="Arial" w:eastAsia="Arial" w:hAnsi="Arial"/>
          <w:sz w:val="16"/>
          <w:szCs w:val="16"/>
          <w:color w:val="auto"/>
        </w:rPr>
        <w:t xml:space="preserve"> Αν το προϊόν δεν μπορεί να σας πληρώσει το οφειλόμενο ποσό, θα μπορούσατε να χάσετε όλα τα επενδυμένα κεφάλαια.</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b w:val="1"/>
          <w:bCs w:val="1"/>
          <w:color w:val="auto"/>
        </w:rPr>
        <w:t xml:space="preserve">Σενάρια επιδόσεων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-226695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40" w:right="80"/>
        <w:spacing w:after="0" w:line="264" w:lineRule="auto"/>
        <w:rPr>
          <w:sz w:val="20"/>
          <w:szCs w:val="20"/>
          <w:color w:val="auto"/>
        </w:rPr>
      </w:pPr>
      <w:r>
        <w:rPr xmlns:w="http://schemas.openxmlformats.org/wordprocessingml/2006/main">
          <w:rFonts w:ascii="Arial" w:cs="Arial" w:eastAsia="Arial" w:hAnsi="Arial"/>
          <w:sz w:val="16"/>
          <w:szCs w:val="16"/>
          <w:color w:val="auto"/>
        </w:rPr>
        <w:t xml:space="preserve">Τα στοιχεία που παρέχονται περιλαμβάνουν το σύνολο του κόστους του ίδιου του προϊόντος, αλλά μπορεί να μην περιλαμβάνουν όλα τα έξοδα που πρέπει να πληρώσετε στο σύμβουλό σας ή τον αντιπρόσωπο πωλήσεων.</w:t>
      </w:r>
      <w:r>
        <w:rPr xmlns:w="http://schemas.openxmlformats.org/wordprocessingml/2006/main">
          <w:rFonts w:ascii="Arial" w:cs="Arial" w:eastAsia="Arial" w:hAnsi="Arial"/>
          <w:sz w:val="16"/>
          <w:szCs w:val="16"/>
          <w:color w:val="auto"/>
        </w:rPr>
        <w:t xml:space="preserve"> Τα μνημονευόμενα ποσά δεν λαμβάνουν υπόψη την προσωπική σας φορολογική κατάσταση, η οποία μπορεί επίσης να επηρεάσει το ποσό της επιστροφής σας.</w:t>
      </w:r>
      <w:r>
        <w:rPr xmlns:w="http://schemas.openxmlformats.org/wordprocessingml/2006/main">
          <w:rFonts w:ascii="Arial" w:cs="Arial" w:eastAsia="Arial" w:hAnsi="Arial"/>
          <w:sz w:val="16"/>
          <w:szCs w:val="16"/>
          <w:color w:val="auto"/>
        </w:rPr>
        <w:t xml:space="preserve"> Τι θα πάρετε από αυτό το προϊόν εξαρτάται από τη μελλοντική ανάπτυξη της αγοράς.</w:t>
      </w:r>
      <w:r>
        <w:rPr xmlns:w="http://schemas.openxmlformats.org/wordprocessingml/2006/main">
          <w:rFonts w:ascii="Arial" w:cs="Arial" w:eastAsia="Arial" w:hAnsi="Arial"/>
          <w:sz w:val="16"/>
          <w:szCs w:val="16"/>
          <w:color w:val="auto"/>
        </w:rPr>
        <w:t xml:space="preserve"> Οι μελλοντικές εξελίξεις της αγοράς είναι αβέβαιες και δεν μπορούν να προβλεφθούν με ακρίβεια.</w:t>
      </w:r>
      <w:r>
        <w:rPr xmlns:w="http://schemas.openxmlformats.org/wordprocessingml/2006/main">
          <w:rFonts w:ascii="Arial" w:cs="Arial" w:eastAsia="Arial" w:hAnsi="Arial"/>
          <w:sz w:val="16"/>
          <w:szCs w:val="16"/>
          <w:color w:val="auto"/>
        </w:rPr>
        <w:t xml:space="preserve"> Τα αισιόδοξα, μεσαία και απαισιόδοξα σενάρια που παρουσιάζονται, τα οποία μπορούν να χρησιμοποιηθούν δείκτες αναφοράς/προσεγγιστικά, δείχνουν τη χειρότερη, μέση και βέλτιστη απόδοση του προϊόντος κατά τα τελευταία δέκα χρόνια.</w:t>
      </w:r>
      <w:r>
        <w:rPr xmlns:w="http://schemas.openxmlformats.org/wordprocessingml/2006/main">
          <w:rFonts w:ascii="Arial" w:cs="Arial" w:eastAsia="Arial" w:hAnsi="Arial"/>
          <w:sz w:val="16"/>
          <w:szCs w:val="16"/>
          <w:color w:val="auto"/>
        </w:rPr>
        <w:t xml:space="preserve"> Οι αγορές θα μπορούσαν να εξελιχθούν πολύ διαφορετικά στο μέλλον.</w:t>
      </w:r>
    </w:p>
    <w:p>
      <w:pPr>
        <w:spacing w:after="0" w:line="178" w:lineRule="exact"/>
        <w:rPr>
          <w:sz w:val="20"/>
          <w:szCs w:val="20"/>
          <w:color w:val="auto"/>
        </w:rPr>
      </w:pPr>
    </w:p>
    <w:tbl>
      <w:tblPr>
        <w:tblLayout w:type="fixed"/>
        <w:tblInd w:w="0" w:type="dxa"/>
        <w:tblCellMar>
          <w:top w:w="0" w:type="dxa"/>
          <w:left w:w="0" w:type="dxa"/>
          <w:bottom w:w="0" w:type="dxa"/>
          <w:right w:w="0" w:type="dxa"/>
        </w:tblCellMar>
      </w:tblPr>
      <w:tr>
        <w:trPr>
          <w:trHeight w:val="245"/>
        </w:trPr>
        <w:tc>
          <w:tcPr>
            <w:tcW w:w="640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Συνιστώμενος χρόνος αναμονής:</w:t>
            </w:r>
            <w:r>
              <w:rPr xmlns:w="http://schemas.openxmlformats.org/wordprocessingml/2006/main">
                <w:rFonts w:ascii="Arial" w:cs="Arial" w:eastAsia="Arial" w:hAnsi="Arial"/>
                <w:sz w:val="16"/>
                <w:szCs w:val="16"/>
                <w:b w:val="1"/>
                <w:bCs w:val="1"/>
                <w:color w:val="FFFFFF"/>
              </w:rPr>
              <w:t xml:space="preserve"> 5 χρόνια</w:t>
            </w:r>
          </w:p>
        </w:tc>
        <w:tc>
          <w:tcPr>
            <w:tcW w:w="4400" w:type="dxa"/>
            <w:vAlign w:val="bottom"/>
            <w:gridSpan w:val="2"/>
            <w:shd w:val="clear" w:color="auto" w:fill="000000"/>
          </w:tcPr>
          <w:p>
            <w:pPr xmlns:w="http://schemas.openxmlformats.org/wordprocessingml/2006/main">
              <w:ind w:left="126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Παράδειγμα επένδυσης:</w:t>
            </w:r>
            <w:r>
              <w:rPr xmlns:w="http://schemas.openxmlformats.org/wordprocessingml/2006/main">
                <w:rFonts w:ascii="Arial" w:cs="Arial" w:eastAsia="Arial" w:hAnsi="Arial"/>
                <w:sz w:val="16"/>
                <w:szCs w:val="16"/>
                <w:b w:val="1"/>
                <w:bCs w:val="1"/>
                <w:color w:val="FFFFFF"/>
              </w:rPr>
              <w:t xml:space="preserve"> 10.000 USD</w:t>
            </w:r>
          </w:p>
        </w:tc>
      </w:tr>
      <w:tr>
        <w:trPr>
          <w:trHeight w:val="175"/>
        </w:trPr>
        <w:tc>
          <w:tcPr>
            <w:tcW w:w="1900" w:type="dxa"/>
            <w:vAlign w:val="bottom"/>
            <w:shd w:val="clear" w:color="auto" w:fill="000000"/>
          </w:tcPr>
          <w:p>
            <w:pPr xmlns:w="http://schemas.openxmlformats.org/wordprocessingml/2006/main">
              <w:ind w:left="40"/>
              <w:spacing w:after="0" w:line="175"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Σενάρια</w:t>
            </w:r>
          </w:p>
        </w:tc>
        <w:tc>
          <w:tcPr>
            <w:tcW w:w="4500" w:type="dxa"/>
            <w:vAlign w:val="bottom"/>
            <w:shd w:val="clear" w:color="auto" w:fill="000000"/>
          </w:tcPr>
          <w:p>
            <w:pPr>
              <w:spacing w:after="0"/>
              <w:rPr>
                <w:sz w:val="15"/>
                <w:szCs w:val="15"/>
                <w:color w:val="auto"/>
              </w:rPr>
            </w:pPr>
          </w:p>
        </w:tc>
        <w:tc>
          <w:tcPr>
            <w:tcW w:w="2380" w:type="dxa"/>
            <w:vAlign w:val="bottom"/>
            <w:shd w:val="clear" w:color="auto" w:fill="000000"/>
          </w:tcPr>
          <w:p>
            <w:pPr xmlns:w="http://schemas.openxmlformats.org/wordprocessingml/2006/main">
              <w:ind w:left="620"/>
              <w:spacing w:after="0" w:line="175"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Όταν κατέβεις</w:t>
            </w:r>
          </w:p>
        </w:tc>
        <w:tc>
          <w:tcPr>
            <w:tcW w:w="2040" w:type="dxa"/>
            <w:vAlign w:val="bottom"/>
            <w:shd w:val="clear" w:color="auto" w:fill="000000"/>
          </w:tcPr>
          <w:p>
            <w:pPr xmlns:w="http://schemas.openxmlformats.org/wordprocessingml/2006/main">
              <w:ind w:left="140"/>
              <w:spacing w:after="0" w:line="175"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Όταν κατέβεις</w:t>
            </w:r>
          </w:p>
        </w:tc>
      </w:tr>
      <w:tr>
        <w:trPr>
          <w:trHeight w:val="222"/>
        </w:trPr>
        <w:tc>
          <w:tcPr>
            <w:tcW w:w="1900" w:type="dxa"/>
            <w:vAlign w:val="bottom"/>
            <w:shd w:val="clear" w:color="auto" w:fill="000000"/>
          </w:tcPr>
          <w:p>
            <w:pPr>
              <w:spacing w:after="0"/>
              <w:rPr>
                <w:sz w:val="19"/>
                <w:szCs w:val="19"/>
                <w:color w:val="auto"/>
              </w:rPr>
            </w:pPr>
          </w:p>
        </w:tc>
        <w:tc>
          <w:tcPr>
            <w:tcW w:w="4500" w:type="dxa"/>
            <w:vAlign w:val="bottom"/>
            <w:shd w:val="clear" w:color="auto" w:fill="000000"/>
          </w:tcPr>
          <w:p>
            <w:pPr>
              <w:spacing w:after="0"/>
              <w:rPr>
                <w:sz w:val="19"/>
                <w:szCs w:val="19"/>
                <w:color w:val="auto"/>
              </w:rPr>
            </w:pPr>
          </w:p>
        </w:tc>
        <w:tc>
          <w:tcPr>
            <w:tcW w:w="2380" w:type="dxa"/>
            <w:vAlign w:val="bottom"/>
            <w:shd w:val="clear" w:color="auto" w:fill="000000"/>
          </w:tcPr>
          <w:p>
            <w:pPr xmlns:w="http://schemas.openxmlformats.org/wordprocessingml/2006/main">
              <w:ind w:left="6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μετά από 1 έτος</w:t>
            </w:r>
          </w:p>
        </w:tc>
        <w:tc>
          <w:tcPr>
            <w:tcW w:w="2040" w:type="dxa"/>
            <w:vAlign w:val="bottom"/>
            <w:shd w:val="clear" w:color="auto" w:fill="000000"/>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μετά από 5 χρόνια</w:t>
            </w:r>
          </w:p>
        </w:tc>
      </w:tr>
      <w:tr>
        <w:trPr>
          <w:trHeight w:val="187"/>
        </w:trPr>
        <w:tc>
          <w:tcPr>
            <w:tcW w:w="19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Τουλάχιστον.</w:t>
            </w:r>
          </w:p>
        </w:tc>
        <w:tc>
          <w:tcPr>
            <w:tcW w:w="6880" w:type="dxa"/>
            <w:vAlign w:val="bottom"/>
            <w:tcBorders>
              <w:bottom w:val="single" w:sz="8" w:color="auto"/>
            </w:tcBorders>
            <w:gridSpan w:val="2"/>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Δεν υπάρχει εγγυημένη ελάχιστη απόδοση.</w:t>
            </w:r>
            <w:r>
              <w:rPr xmlns:w="http://schemas.openxmlformats.org/wordprocessingml/2006/main">
                <w:rFonts w:ascii="Arial" w:cs="Arial" w:eastAsia="Arial" w:hAnsi="Arial"/>
                <w:sz w:val="16"/>
                <w:szCs w:val="16"/>
                <w:b w:val="1"/>
                <w:bCs w:val="1"/>
                <w:color w:val="auto"/>
              </w:rPr>
              <w:t xml:space="preserve"> Θα μπορούσες να χάσεις όλο ή μέρος του περιουσιακού σου στοιχείου.</w:t>
            </w:r>
          </w:p>
        </w:tc>
        <w:tc>
          <w:tcPr>
            <w:tcW w:w="2040" w:type="dxa"/>
            <w:vAlign w:val="bottom"/>
            <w:tcBorders>
              <w:bottom w:val="single" w:sz="8" w:color="auto"/>
            </w:tcBorders>
          </w:tcPr>
          <w:p>
            <w:pPr>
              <w:spacing w:after="0"/>
              <w:rPr>
                <w:sz w:val="16"/>
                <w:szCs w:val="16"/>
                <w:color w:val="auto"/>
              </w:rPr>
            </w:pP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Τάση*</w:t>
            </w:r>
          </w:p>
        </w:tc>
        <w:tc>
          <w:tcPr>
            <w:tcW w:w="45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Τι θα μπορούσατε να πάρετε μετά την αφαίρεση των εξόδων</w:t>
            </w:r>
          </w:p>
        </w:tc>
        <w:tc>
          <w:tcPr>
            <w:tcW w:w="2380" w:type="dxa"/>
            <w:vAlign w:val="bottom"/>
            <w:tcBorders>
              <w:bottom w:val="single" w:sz="8" w:color="auto"/>
            </w:tcBorders>
          </w:tcPr>
          <w:p>
            <w:pPr xmlns:w="http://schemas.openxmlformats.org/wordprocessingml/2006/main">
              <w:ind w:left="6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6.080 $</w:t>
            </w:r>
          </w:p>
        </w:tc>
        <w:tc>
          <w:tcPr>
            <w:tcW w:w="2040" w:type="dxa"/>
            <w:vAlign w:val="bottom"/>
            <w:tcBorders>
              <w:bottom w:val="single" w:sz="8" w:color="auto"/>
            </w:tcBorders>
          </w:tcPr>
          <w:p>
            <w:pPr xmlns:w="http://schemas.openxmlformats.org/wordprocessingml/2006/main">
              <w:ind w:left="1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3.250 $</w:t>
            </w:r>
          </w:p>
        </w:tc>
      </w:tr>
      <w:tr>
        <w:trPr>
          <w:trHeight w:val="177"/>
        </w:trPr>
        <w:tc>
          <w:tcPr>
            <w:tcW w:w="1900" w:type="dxa"/>
            <w:vAlign w:val="bottom"/>
            <w:tcBorders>
              <w:bottom w:val="single" w:sz="8" w:color="auto"/>
            </w:tcBorders>
          </w:tcPr>
          <w:p>
            <w:pPr>
              <w:spacing w:after="0"/>
              <w:rPr>
                <w:sz w:val="15"/>
                <w:szCs w:val="15"/>
                <w:color w:val="auto"/>
              </w:rPr>
            </w:pPr>
          </w:p>
        </w:tc>
        <w:tc>
          <w:tcPr>
            <w:tcW w:w="45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Μέση ετήσια απόδοση</w:t>
            </w:r>
          </w:p>
        </w:tc>
        <w:tc>
          <w:tcPr>
            <w:tcW w:w="2380" w:type="dxa"/>
            <w:vAlign w:val="bottom"/>
            <w:tcBorders>
              <w:bottom w:val="single" w:sz="8" w:color="auto"/>
            </w:tcBorders>
          </w:tcPr>
          <w:p>
            <w:pPr xmlns:w="http://schemas.openxmlformats.org/wordprocessingml/2006/main">
              <w:ind w:left="6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-39,2%</w:t>
            </w:r>
          </w:p>
        </w:tc>
        <w:tc>
          <w:tcPr>
            <w:tcW w:w="2040" w:type="dxa"/>
            <w:vAlign w:val="bottom"/>
            <w:tcBorders>
              <w:bottom w:val="single" w:sz="8" w:color="auto"/>
            </w:tcBorders>
          </w:tcPr>
          <w:p>
            <w:pPr xmlns:w="http://schemas.openxmlformats.org/wordprocessingml/2006/main">
              <w:ind w:left="1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-20,1%</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Μη ευνοϊκή**</w:t>
            </w:r>
          </w:p>
        </w:tc>
        <w:tc>
          <w:tcPr>
            <w:tcW w:w="45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Τι θα μπορούσατε να πάρετε μετά την αφαίρεση των εξόδων</w:t>
            </w:r>
          </w:p>
        </w:tc>
        <w:tc>
          <w:tcPr>
            <w:tcW w:w="2380" w:type="dxa"/>
            <w:vAlign w:val="bottom"/>
            <w:tcBorders>
              <w:bottom w:val="single" w:sz="8" w:color="auto"/>
            </w:tcBorders>
          </w:tcPr>
          <w:p>
            <w:pPr xmlns:w="http://schemas.openxmlformats.org/wordprocessingml/2006/main">
              <w:ind w:left="6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9.520 $</w:t>
            </w:r>
          </w:p>
        </w:tc>
        <w:tc>
          <w:tcPr>
            <w:tcW w:w="2040" w:type="dxa"/>
            <w:vAlign w:val="bottom"/>
            <w:tcBorders>
              <w:bottom w:val="single" w:sz="8" w:color="auto"/>
            </w:tcBorders>
          </w:tcPr>
          <w:p>
            <w:pPr xmlns:w="http://schemas.openxmlformats.org/wordprocessingml/2006/main">
              <w:ind w:left="1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11.980 $</w:t>
            </w:r>
          </w:p>
        </w:tc>
      </w:tr>
      <w:tr>
        <w:trPr>
          <w:trHeight w:val="177"/>
        </w:trPr>
        <w:tc>
          <w:tcPr>
            <w:tcW w:w="1900" w:type="dxa"/>
            <w:vAlign w:val="bottom"/>
            <w:tcBorders>
              <w:bottom w:val="single" w:sz="8" w:color="auto"/>
            </w:tcBorders>
          </w:tcPr>
          <w:p>
            <w:pPr>
              <w:spacing w:after="0"/>
              <w:rPr>
                <w:sz w:val="15"/>
                <w:szCs w:val="15"/>
                <w:color w:val="auto"/>
              </w:rPr>
            </w:pPr>
          </w:p>
        </w:tc>
        <w:tc>
          <w:tcPr>
            <w:tcW w:w="45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Μέση ετήσια απόδοση</w:t>
            </w:r>
          </w:p>
        </w:tc>
        <w:tc>
          <w:tcPr>
            <w:tcW w:w="2380" w:type="dxa"/>
            <w:vAlign w:val="bottom"/>
            <w:tcBorders>
              <w:bottom w:val="single" w:sz="8" w:color="auto"/>
            </w:tcBorders>
          </w:tcPr>
          <w:p>
            <w:pPr xmlns:w="http://schemas.openxmlformats.org/wordprocessingml/2006/main">
              <w:ind w:left="6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-4,8%</w:t>
            </w:r>
          </w:p>
        </w:tc>
        <w:tc>
          <w:tcPr>
            <w:tcW w:w="2040" w:type="dxa"/>
            <w:vAlign w:val="bottom"/>
            <w:tcBorders>
              <w:bottom w:val="single" w:sz="8" w:color="auto"/>
            </w:tcBorders>
          </w:tcPr>
          <w:p>
            <w:pPr xmlns:w="http://schemas.openxmlformats.org/wordprocessingml/2006/main">
              <w:ind w:left="1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3,7%</w:t>
            </w:r>
          </w:p>
        </w:tc>
      </w:tr>
      <w:tr>
        <w:trPr>
          <w:trHeight w:val="179"/>
        </w:trPr>
        <w:tc>
          <w:tcPr>
            <w:tcW w:w="1900" w:type="dxa"/>
            <w:vAlign w:val="bottom"/>
          </w:tcPr>
          <w:p>
            <w:pPr xmlns:w="http://schemas.openxmlformats.org/wordprocessingml/2006/main">
              <w:ind w:left="40"/>
              <w:spacing w:after="0" w:line="179" w:lineRule="exact"/>
              <w:rPr>
                <w:sz w:val="20"/>
                <w:szCs w:val="20"/>
                <w:color w:val="auto"/>
              </w:rPr>
            </w:pPr>
            <w:r>
              <w:rPr xmlns:w="http://schemas.openxmlformats.org/wordprocessingml/2006/main">
                <w:rFonts w:ascii="Arial" w:cs="Arial" w:eastAsia="Arial" w:hAnsi="Arial"/>
                <w:sz w:val="16"/>
                <w:szCs w:val="16"/>
                <w:b w:val="1"/>
                <w:bCs w:val="1"/>
                <w:color w:val="auto"/>
              </w:rPr>
              <w:t xml:space="preserve">Μεσαία**</w:t>
            </w:r>
          </w:p>
        </w:tc>
        <w:tc>
          <w:tcPr>
            <w:tcW w:w="4500" w:type="dxa"/>
            <w:vAlign w:val="bottom"/>
            <w:tcBorders>
              <w:bottom w:val="single" w:sz="8" w:color="auto"/>
            </w:tcBorders>
          </w:tcPr>
          <w:p>
            <w:pPr xmlns:w="http://schemas.openxmlformats.org/wordprocessingml/2006/main">
              <w:ind w:left="40"/>
              <w:spacing w:after="0" w:line="179"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Τι θα μπορούσατε να πάρετε μετά την αφαίρεση των εξόδων</w:t>
            </w:r>
          </w:p>
        </w:tc>
        <w:tc>
          <w:tcPr>
            <w:tcW w:w="2380" w:type="dxa"/>
            <w:vAlign w:val="bottom"/>
            <w:tcBorders>
              <w:bottom w:val="single" w:sz="8" w:color="auto"/>
            </w:tcBorders>
          </w:tcPr>
          <w:p>
            <w:pPr xmlns:w="http://schemas.openxmlformats.org/wordprocessingml/2006/main">
              <w:ind w:left="620"/>
              <w:spacing w:after="0" w:line="179" w:lineRule="exact"/>
              <w:rPr>
                <w:sz w:val="20"/>
                <w:szCs w:val="20"/>
                <w:color w:val="auto"/>
              </w:rPr>
            </w:pPr>
            <w:r>
              <w:rPr xmlns:w="http://schemas.openxmlformats.org/wordprocessingml/2006/main">
                <w:rFonts w:ascii="Arial" w:cs="Arial" w:eastAsia="Arial" w:hAnsi="Arial"/>
                <w:sz w:val="16"/>
                <w:szCs w:val="16"/>
                <w:color w:val="auto"/>
              </w:rPr>
              <w:t xml:space="preserve">12.420 $</w:t>
            </w:r>
          </w:p>
        </w:tc>
        <w:tc>
          <w:tcPr>
            <w:tcW w:w="2040" w:type="dxa"/>
            <w:vAlign w:val="bottom"/>
            <w:tcBorders>
              <w:bottom w:val="single" w:sz="8" w:color="auto"/>
            </w:tcBorders>
          </w:tcPr>
          <w:p>
            <w:pPr xmlns:w="http://schemas.openxmlformats.org/wordprocessingml/2006/main">
              <w:ind w:left="140"/>
              <w:spacing w:after="0" w:line="179" w:lineRule="exact"/>
              <w:rPr>
                <w:sz w:val="20"/>
                <w:szCs w:val="20"/>
                <w:color w:val="auto"/>
              </w:rPr>
            </w:pPr>
            <w:r>
              <w:rPr xmlns:w="http://schemas.openxmlformats.org/wordprocessingml/2006/main">
                <w:rFonts w:ascii="Arial" w:cs="Arial" w:eastAsia="Arial" w:hAnsi="Arial"/>
                <w:sz w:val="16"/>
                <w:szCs w:val="16"/>
                <w:color w:val="auto"/>
              </w:rPr>
              <w:t xml:space="preserve">25.370 $</w:t>
            </w:r>
          </w:p>
        </w:tc>
      </w:tr>
      <w:tr>
        <w:trPr>
          <w:trHeight w:val="177"/>
        </w:trPr>
        <w:tc>
          <w:tcPr>
            <w:tcW w:w="1900" w:type="dxa"/>
            <w:vAlign w:val="bottom"/>
            <w:tcBorders>
              <w:bottom w:val="single" w:sz="8" w:color="auto"/>
            </w:tcBorders>
          </w:tcPr>
          <w:p>
            <w:pPr>
              <w:spacing w:after="0"/>
              <w:rPr>
                <w:sz w:val="15"/>
                <w:szCs w:val="15"/>
                <w:color w:val="auto"/>
              </w:rPr>
            </w:pPr>
          </w:p>
        </w:tc>
        <w:tc>
          <w:tcPr>
            <w:tcW w:w="45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Μέση ετήσια απόδοση</w:t>
            </w:r>
          </w:p>
        </w:tc>
        <w:tc>
          <w:tcPr>
            <w:tcW w:w="2380" w:type="dxa"/>
            <w:vAlign w:val="bottom"/>
            <w:tcBorders>
              <w:bottom w:val="single" w:sz="8" w:color="auto"/>
            </w:tcBorders>
          </w:tcPr>
          <w:p>
            <w:pPr xmlns:w="http://schemas.openxmlformats.org/wordprocessingml/2006/main">
              <w:ind w:left="6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24,2%</w:t>
            </w:r>
          </w:p>
        </w:tc>
        <w:tc>
          <w:tcPr>
            <w:tcW w:w="2040" w:type="dxa"/>
            <w:vAlign w:val="bottom"/>
            <w:tcBorders>
              <w:bottom w:val="single" w:sz="8" w:color="auto"/>
            </w:tcBorders>
          </w:tcPr>
          <w:p>
            <w:pPr xmlns:w="http://schemas.openxmlformats.org/wordprocessingml/2006/main">
              <w:ind w:left="1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20,5%</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Φθηνό**</w:t>
            </w:r>
          </w:p>
        </w:tc>
        <w:tc>
          <w:tcPr>
            <w:tcW w:w="45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Τι θα μπορούσατε να πάρετε μετά την αφαίρεση των εξόδων</w:t>
            </w:r>
          </w:p>
        </w:tc>
        <w:tc>
          <w:tcPr>
            <w:tcW w:w="2380" w:type="dxa"/>
            <w:vAlign w:val="bottom"/>
            <w:tcBorders>
              <w:bottom w:val="single" w:sz="8" w:color="auto"/>
            </w:tcBorders>
          </w:tcPr>
          <w:p>
            <w:pPr xmlns:w="http://schemas.openxmlformats.org/wordprocessingml/2006/main">
              <w:ind w:left="6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16.530 $</w:t>
            </w:r>
          </w:p>
        </w:tc>
        <w:tc>
          <w:tcPr>
            <w:tcW w:w="2040" w:type="dxa"/>
            <w:vAlign w:val="bottom"/>
            <w:tcBorders>
              <w:bottom w:val="single" w:sz="8" w:color="auto"/>
            </w:tcBorders>
          </w:tcPr>
          <w:p>
            <w:pPr xmlns:w="http://schemas.openxmlformats.org/wordprocessingml/2006/main">
              <w:ind w:left="1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39.180 $</w:t>
            </w:r>
          </w:p>
        </w:tc>
      </w:tr>
      <w:tr>
        <w:trPr>
          <w:trHeight w:val="197"/>
        </w:trPr>
        <w:tc>
          <w:tcPr>
            <w:tcW w:w="1900" w:type="dxa"/>
            <w:vAlign w:val="bottom"/>
          </w:tcPr>
          <w:p>
            <w:pPr>
              <w:spacing w:after="0"/>
              <w:rPr>
                <w:sz w:val="17"/>
                <w:szCs w:val="17"/>
                <w:color w:val="auto"/>
              </w:rPr>
            </w:pPr>
          </w:p>
        </w:tc>
        <w:tc>
          <w:tcPr>
            <w:tcW w:w="45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Μέση ετήσια απόδοση</w:t>
            </w:r>
          </w:p>
        </w:tc>
        <w:tc>
          <w:tcPr>
            <w:tcW w:w="2380" w:type="dxa"/>
            <w:vAlign w:val="bottom"/>
          </w:tcPr>
          <w:p>
            <w:pPr xmlns:w="http://schemas.openxmlformats.org/wordprocessingml/2006/main">
              <w:ind w:left="620"/>
              <w:spacing w:after="0"/>
              <w:rPr>
                <w:sz w:val="20"/>
                <w:szCs w:val="20"/>
                <w:color w:val="auto"/>
              </w:rPr>
            </w:pPr>
            <w:r>
              <w:rPr xmlns:w="http://schemas.openxmlformats.org/wordprocessingml/2006/main">
                <w:rFonts w:ascii="Arial" w:cs="Arial" w:eastAsia="Arial" w:hAnsi="Arial"/>
                <w:sz w:val="16"/>
                <w:szCs w:val="16"/>
                <w:color w:val="auto"/>
              </w:rPr>
              <w:t xml:space="preserve">65,3%</w:t>
            </w:r>
          </w:p>
        </w:tc>
        <w:tc>
          <w:tcPr>
            <w:tcW w:w="204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31,4%</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-9525</wp:posOffset>
                </wp:positionH>
                <wp:positionV relativeFrom="paragraph">
                  <wp:posOffset>-6350</wp:posOffset>
                </wp:positionV>
                <wp:extent cx="686689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6689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7499pt,-0.4999pt" to="539.95pt,-0.4999pt" o:allowincell="f" strokecolor="#000000" strokeweight="0.9599pt"/>
            </w:pict>
          </mc:Fallback>
        </mc:AlternateContent>
      </w:r>
    </w:p>
    <w:p>
      <w:pPr xmlns:w="http://schemas.openxmlformats.org/wordprocessingml/2006/main">
        <w:ind w:left="300" w:hanging="289"/>
        <w:spacing w:after="0"/>
        <w:tabs>
          <w:tab w:leader="none" w:pos="30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Το σενάριο άγχους δείχνει τι θα μπορούσατε να πάρετε πίσω σε περίπτωση ακραίων συνθηκών της αγοράς.</w:t>
      </w:r>
    </w:p>
    <w:p>
      <w:pPr>
        <w:spacing w:after="0" w:line="93" w:lineRule="exact"/>
        <w:rPr>
          <w:rFonts w:ascii="Arial" w:cs="Arial" w:eastAsia="Arial" w:hAnsi="Arial"/>
          <w:sz w:val="16"/>
          <w:szCs w:val="16"/>
          <w:color w:val="auto"/>
        </w:rPr>
      </w:pPr>
    </w:p>
    <w:p>
      <w:pPr xmlns:w="http://schemas.openxmlformats.org/wordprocessingml/2006/main">
        <w:ind w:left="320" w:hanging="277"/>
        <w:spacing w:after="0"/>
        <w:tabs>
          <w:tab w:leader="none" w:pos="320" w:val="left"/>
        </w:tabs>
        <w:numPr>
          <w:ilvl w:val="1"/>
          <w:numId w:val="1"/>
        </w:numPr>
        <w:rPr>
          <w:rFonts w:ascii="Arial" w:cs="Arial" w:eastAsia="Arial" w:hAnsi="Arial"/>
          <w:sz w:val="16"/>
          <w:szCs w:val="16"/>
          <w:color w:val="auto"/>
        </w:rPr>
      </w:pPr>
      <w:r>
        <w:rPr xmlns:w="http://schemas.openxmlformats.org/wordprocessingml/2006/main">
          <w:rFonts w:ascii="Arial" w:cs="Arial" w:eastAsia="Arial" w:hAnsi="Arial"/>
          <w:sz w:val="13"/>
          <w:szCs w:val="13"/>
          <w:color w:val="auto"/>
        </w:rPr>
        <w:t xml:space="preserve">Αυτό το είδος σεναρίου συνέβη σε μια εγκατάσταση στο προϊόν με τη χρήση δεικτών/προσεγγίσεων αναφοράς κατά την περίοδο 2012-2015</w:t>
      </w:r>
    </w:p>
    <w:p>
      <w:pPr>
        <w:spacing w:after="0" w:line="10"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Τι θα συμβεί αν η BlackRock Asset Management Ireland Limited δεν είναι σε θέση να πραγματοποιήσει την αποπληρωμή;</w:t>
      </w:r>
    </w:p>
    <w:p>
      <w:pPr>
        <w:spacing w:after="0" w:line="22" w:lineRule="exact"/>
        <w:rPr>
          <w:sz w:val="20"/>
          <w:szCs w:val="20"/>
          <w:color w:val="auto"/>
        </w:rPr>
      </w:pPr>
    </w:p>
    <w:p>
      <w:pPr xmlns:w="http://schemas.openxmlformats.org/wordprocessingml/2006/main">
        <w:jc w:val="both"/>
        <w:ind w:left="20" w:right="60"/>
        <w:spacing w:after="0" w:line="256" w:lineRule="auto"/>
        <w:rPr>
          <w:sz w:val="20"/>
          <w:szCs w:val="20"/>
          <w:color w:val="auto"/>
        </w:rPr>
      </w:pPr>
      <w:r>
        <w:rPr xmlns:w="http://schemas.openxmlformats.org/wordprocessingml/2006/main">
          <w:rFonts w:ascii="Arial" w:cs="Arial" w:eastAsia="Arial" w:hAnsi="Arial"/>
          <w:sz w:val="16"/>
          <w:szCs w:val="16"/>
          <w:color w:val="auto"/>
        </w:rPr>
        <w:t xml:space="preserve">Τα περιουσιακά στοιχεία του Ταμείου διατηρούνται από τον θεματοφύλακά του, την State Street Custodial Services (Ireland) Limited (ο «θεματοφύλακας»).</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Σε περίπτωση αφερεγγυότητας της εταιρείας διαχείρισης, δεν θίγονται τα περιουσιακά στοιχεία του κεφαλαίου που έχει στην κατοχή του ο θεματοφύλακας.</w:t>
      </w:r>
      <w:r>
        <w:rPr xmlns:w="http://schemas.openxmlformats.org/wordprocessingml/2006/main">
          <w:rFonts w:ascii="Arial" w:cs="Arial" w:eastAsia="Arial" w:hAnsi="Arial"/>
          <w:sz w:val="16"/>
          <w:szCs w:val="16"/>
          <w:color w:val="auto"/>
        </w:rPr>
        <w:t xml:space="preserve"> Ωστόσο, σε περίπτωση αφερεγγυότητας του θεματοφύλακα ή προσώπου που ενεργεί για λογαριασμό του, το Ταμείο μπορεί να υποστεί οικονομική ζημία.</w:t>
      </w:r>
      <w:r>
        <w:rPr xmlns:w="http://schemas.openxmlformats.org/wordprocessingml/2006/main">
          <w:rFonts w:ascii="Arial" w:cs="Arial" w:eastAsia="Arial" w:hAnsi="Arial"/>
          <w:sz w:val="16"/>
          <w:szCs w:val="16"/>
          <w:color w:val="auto"/>
        </w:rPr>
        <w:t xml:space="preserve"> Ωστόσο, ο κίνδυνος αυτός μετριάζεται σε κάποιο βαθμό από το γεγονός ότι ο θεματοφύλακας έχει νομική υποχρέωση να διαχωρίσει τα περιουσιακά του στοιχεία από εκείνα του Ταμείου.</w:t>
      </w:r>
      <w:r>
        <w:rPr xmlns:w="http://schemas.openxmlformats.org/wordprocessingml/2006/main">
          <w:rFonts w:ascii="Arial" w:cs="Arial" w:eastAsia="Arial" w:hAnsi="Arial"/>
          <w:sz w:val="16"/>
          <w:szCs w:val="16"/>
          <w:color w:val="auto"/>
        </w:rPr>
        <w:t xml:space="preserve"> Ο θεματοφύλακας ευθύνεται επίσης έναντι του Ταμείου και των επενδυτών για κάθε ζημία που οφείλεται, μεταξύ άλλων, σε αμέλεια, απάτη ή εκ προθέσεως αθέτηση υποχρεώσεων (υπό ορισμένους περιορισμούς).</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Ως μεριδιούχος του Ταμείου, δεν μπορείτε να διεκδικήσετε το καθεστώς αντιστάθμισης των χρηματοπιστωτικών υπηρεσιών του Ηνωμένου Βασιλείου ή οποιοδήποτε άλλο σχέδιο αποζημίωσης σε σχέση με το Ταμείο, αν το Ταμείο δεν είναι σε θέση να πραγματοποιήσει την πληρωμή.</w:t>
      </w:r>
    </w:p>
    <w:p>
      <w:pPr>
        <w:sectPr>
          <w:pgSz w:w="11900" w:h="16838" w:orient="portrait"/>
          <w:cols w:equalWidth="0" w:num="1">
            <w:col w:w="10800"/>
          </w:cols>
          <w:pgMar w:left="560" w:top="561" w:right="539" w:bottom="82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800"/>
          </w:cols>
          <w:pgMar w:left="560" w:top="561" w:right="539" w:bottom="822" w:gutter="0" w:footer="0" w:header="0"/>
          <w:type w:val="continuous"/>
        </w:sectPr>
      </w:pPr>
    </w:p>
    <w:bookmarkStart w:id="2" w:name="page3"/>
    <w:bookmarkEnd w:id="2"/>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Ποιο είναι το κόστος;</w:t>
      </w:r>
    </w:p>
    <w:p>
      <w:pPr>
        <w:spacing w:after="0" w:line="29" w:lineRule="exact"/>
        <w:rPr>
          <w:sz w:val="20"/>
          <w:szCs w:val="20"/>
          <w:color w:val="auto"/>
        </w:rPr>
      </w:pPr>
    </w:p>
    <w:p>
      <w:pPr xmlns:w="http://schemas.openxmlformats.org/wordprocessingml/2006/main">
        <w:jc w:val="both"/>
        <w:ind w:left="40" w:right="60"/>
        <w:spacing w:after="0" w:line="246" w:lineRule="auto"/>
        <w:rPr>
          <w:sz w:val="20"/>
          <w:szCs w:val="20"/>
          <w:color w:val="auto"/>
        </w:rPr>
      </w:pPr>
      <w:r>
        <w:rPr xmlns:w="http://schemas.openxmlformats.org/wordprocessingml/2006/main">
          <w:rFonts w:ascii="Arial" w:cs="Arial" w:eastAsia="Arial" w:hAnsi="Arial"/>
          <w:sz w:val="16"/>
          <w:szCs w:val="16"/>
          <w:b w:val="1"/>
          <w:bCs w:val="1"/>
          <w:color w:val="auto"/>
        </w:rPr>
        <w:t xml:space="preserve">Κόστος με την πάροδο του χρόνου:</w:t>
      </w:r>
      <w:r>
        <w:rPr xmlns:w="http://schemas.openxmlformats.org/wordprocessingml/2006/main">
          <w:rFonts w:ascii="Arial" w:cs="Arial" w:eastAsia="Arial" w:hAnsi="Arial"/>
          <w:sz w:val="16"/>
          <w:szCs w:val="16"/>
          <w:color w:val="auto"/>
        </w:rPr>
        <w:t xml:space="preserve"> Οι πίνακες δείχνουν τα ποσά που λαμβάνονται από το περιουσιακό σας στοιχείο για την κάλυψη των διαφόρων τύπων εξόδων.</w:t>
      </w:r>
      <w:r>
        <w:rPr xmlns:w="http://schemas.openxmlformats.org/wordprocessingml/2006/main">
          <w:rFonts w:ascii="Arial" w:cs="Arial" w:eastAsia="Arial" w:hAnsi="Arial"/>
          <w:sz w:val="16"/>
          <w:szCs w:val="16"/>
          <w:color w:val="auto"/>
        </w:rPr>
        <w:t xml:space="preserve"> Αυτά τα ποσά εξαρτώνται από το πόσο επενδύετε, πόσο καιρό κρατάτε το προϊόν και πόσο καλά αναπτύσσεται.</w:t>
      </w:r>
      <w:r>
        <w:rPr xmlns:w="http://schemas.openxmlformats.org/wordprocessingml/2006/main">
          <w:rFonts w:ascii="Arial" w:cs="Arial" w:eastAsia="Arial" w:hAnsi="Arial"/>
          <w:sz w:val="16"/>
          <w:szCs w:val="16"/>
          <w:color w:val="auto"/>
        </w:rPr>
        <w:t xml:space="preserve"> Τα ποσά που παρουσιάζονται εδώ απεικονίζονται με βάση ένα ενδεικτικό ποσό επένδυσης και διάφορες πιθανές επενδυτικές περιόδους.</w:t>
      </w:r>
    </w:p>
    <w:p>
      <w:pPr>
        <w:spacing w:after="0" w:line="1"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Δεχόμαστε ως εξής:</w:t>
      </w:r>
    </w:p>
    <w:p>
      <w:pPr>
        <w:spacing w:after="0" w:line="18" w:lineRule="exact"/>
        <w:rPr>
          <w:sz w:val="20"/>
          <w:szCs w:val="20"/>
          <w:color w:val="auto"/>
        </w:rPr>
      </w:pPr>
    </w:p>
    <w:tbl>
      <w:tblPr>
        <w:tblLayout w:type="fixed"/>
        <w:tblInd w:w="20" w:type="dxa"/>
        <w:tblCellMar>
          <w:top w:w="0" w:type="dxa"/>
          <w:left w:w="0" w:type="dxa"/>
          <w:bottom w:w="0" w:type="dxa"/>
          <w:right w:w="0" w:type="dxa"/>
        </w:tblCellMar>
      </w:tblPr>
      <w:tr>
        <w:trPr>
          <w:trHeight w:val="204"/>
        </w:trPr>
        <w:tc>
          <w:tcPr>
            <w:tcW w:w="642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Κατά το πρώτο έτος, θα λάβετε το ποσό που επενδύθηκε πίσω (0 % ετήσια απόδοση).</w:t>
            </w:r>
          </w:p>
        </w:tc>
        <w:tc>
          <w:tcPr>
            <w:tcW w:w="2360" w:type="dxa"/>
            <w:vAlign w:val="bottom"/>
          </w:tcPr>
          <w:p>
            <w:pPr>
              <w:spacing w:after="0"/>
              <w:rPr>
                <w:sz w:val="17"/>
                <w:szCs w:val="17"/>
                <w:color w:val="auto"/>
              </w:rPr>
            </w:pPr>
          </w:p>
        </w:tc>
        <w:tc>
          <w:tcPr>
            <w:tcW w:w="2040" w:type="dxa"/>
            <w:vAlign w:val="bottom"/>
          </w:tcPr>
          <w:p>
            <w:pPr>
              <w:spacing w:after="0"/>
              <w:rPr>
                <w:sz w:val="17"/>
                <w:szCs w:val="17"/>
                <w:color w:val="auto"/>
              </w:rPr>
            </w:pPr>
          </w:p>
        </w:tc>
      </w:tr>
      <w:tr>
        <w:trPr>
          <w:trHeight w:val="197"/>
        </w:trPr>
        <w:tc>
          <w:tcPr>
            <w:tcW w:w="8780" w:type="dxa"/>
            <w:vAlign w:val="bottom"/>
            <w:gridSpan w:val="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Για τους υπόλοιπους χρόνους διατήρησης, υποθέσαμε ότι το προϊόν εξελίχθηκε όπως φαίνεται στο μεσαίο σενάριο.</w:t>
            </w:r>
          </w:p>
        </w:tc>
        <w:tc>
          <w:tcPr>
            <w:tcW w:w="2040" w:type="dxa"/>
            <w:vAlign w:val="bottom"/>
          </w:tcPr>
          <w:p>
            <w:pPr>
              <w:spacing w:after="0"/>
              <w:rPr>
                <w:sz w:val="17"/>
                <w:szCs w:val="17"/>
                <w:color w:val="auto"/>
              </w:rPr>
            </w:pPr>
          </w:p>
        </w:tc>
      </w:tr>
      <w:tr>
        <w:trPr>
          <w:trHeight w:val="220"/>
        </w:trPr>
        <w:tc>
          <w:tcPr>
            <w:tcW w:w="642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Επενδύονται 10.000 δολάρια.</w:t>
            </w:r>
          </w:p>
        </w:tc>
        <w:tc>
          <w:tcPr>
            <w:tcW w:w="2360" w:type="dxa"/>
            <w:vAlign w:val="bottom"/>
          </w:tcPr>
          <w:p>
            <w:pPr>
              <w:spacing w:after="0"/>
              <w:rPr>
                <w:sz w:val="19"/>
                <w:szCs w:val="19"/>
                <w:color w:val="auto"/>
              </w:rPr>
            </w:pPr>
          </w:p>
        </w:tc>
        <w:tc>
          <w:tcPr>
            <w:tcW w:w="2040" w:type="dxa"/>
            <w:vAlign w:val="bottom"/>
          </w:tcPr>
          <w:p>
            <w:pPr>
              <w:spacing w:after="0"/>
              <w:rPr>
                <w:sz w:val="19"/>
                <w:szCs w:val="19"/>
                <w:color w:val="auto"/>
              </w:rPr>
            </w:pPr>
          </w:p>
        </w:tc>
      </w:tr>
      <w:tr>
        <w:trPr>
          <w:trHeight w:val="160"/>
        </w:trPr>
        <w:tc>
          <w:tcPr>
            <w:tcW w:w="6420" w:type="dxa"/>
            <w:vAlign w:val="bottom"/>
            <w:shd w:val="clear" w:color="auto" w:fill="000000"/>
          </w:tcPr>
          <w:p>
            <w:pPr xmlns:w="http://schemas.openxmlformats.org/wordprocessingml/2006/main">
              <w:ind w:left="40"/>
              <w:spacing w:after="0" w:line="160"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Σενάρια</w:t>
            </w:r>
          </w:p>
        </w:tc>
        <w:tc>
          <w:tcPr>
            <w:tcW w:w="2360" w:type="dxa"/>
            <w:vAlign w:val="bottom"/>
            <w:shd w:val="clear" w:color="auto" w:fill="000000"/>
          </w:tcPr>
          <w:p>
            <w:pPr xmlns:w="http://schemas.openxmlformats.org/wordprocessingml/2006/main">
              <w:ind w:left="600"/>
              <w:spacing w:after="0" w:line="160"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Όταν κατέβεις</w:t>
            </w:r>
          </w:p>
        </w:tc>
        <w:tc>
          <w:tcPr>
            <w:tcW w:w="2040" w:type="dxa"/>
            <w:vAlign w:val="bottom"/>
            <w:shd w:val="clear" w:color="auto" w:fill="000000"/>
          </w:tcPr>
          <w:p>
            <w:pPr xmlns:w="http://schemas.openxmlformats.org/wordprocessingml/2006/main">
              <w:ind w:left="140"/>
              <w:spacing w:after="0" w:line="160"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Όταν κατέβεις</w:t>
            </w:r>
          </w:p>
        </w:tc>
      </w:tr>
      <w:tr>
        <w:trPr>
          <w:trHeight w:val="222"/>
        </w:trPr>
        <w:tc>
          <w:tcPr>
            <w:tcW w:w="6420" w:type="dxa"/>
            <w:vAlign w:val="bottom"/>
            <w:shd w:val="clear" w:color="auto" w:fill="000000"/>
          </w:tcPr>
          <w:p>
            <w:pPr>
              <w:spacing w:after="0"/>
              <w:rPr>
                <w:sz w:val="19"/>
                <w:szCs w:val="19"/>
                <w:color w:val="auto"/>
              </w:rPr>
            </w:pPr>
          </w:p>
        </w:tc>
        <w:tc>
          <w:tcPr>
            <w:tcW w:w="2360" w:type="dxa"/>
            <w:vAlign w:val="bottom"/>
            <w:shd w:val="clear" w:color="auto" w:fill="000000"/>
          </w:tcPr>
          <w:p>
            <w:pPr xmlns:w="http://schemas.openxmlformats.org/wordprocessingml/2006/main">
              <w:ind w:left="60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μετά από 1 έτος</w:t>
            </w:r>
          </w:p>
        </w:tc>
        <w:tc>
          <w:tcPr>
            <w:tcW w:w="2040" w:type="dxa"/>
            <w:vAlign w:val="bottom"/>
            <w:shd w:val="clear" w:color="auto" w:fill="000000"/>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μετά από 5 χρόνια</w:t>
            </w:r>
          </w:p>
        </w:tc>
      </w:tr>
      <w:tr>
        <w:trPr>
          <w:trHeight w:val="190"/>
        </w:trPr>
        <w:tc>
          <w:tcPr>
            <w:tcW w:w="642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Συνολικό κόστος</w:t>
            </w:r>
          </w:p>
        </w:tc>
        <w:tc>
          <w:tcPr>
            <w:tcW w:w="2360" w:type="dxa"/>
            <w:vAlign w:val="bottom"/>
            <w:tcBorders>
              <w:bottom w:val="single" w:sz="8" w:color="auto"/>
            </w:tcBorders>
          </w:tcPr>
          <w:p>
            <w:pPr xmlns:w="http://schemas.openxmlformats.org/wordprocessingml/2006/main">
              <w:ind w:left="600"/>
              <w:spacing w:after="0"/>
              <w:rPr>
                <w:sz w:val="20"/>
                <w:szCs w:val="20"/>
                <w:color w:val="auto"/>
              </w:rPr>
            </w:pPr>
            <w:r>
              <w:rPr xmlns:w="http://schemas.openxmlformats.org/wordprocessingml/2006/main">
                <w:rFonts w:ascii="Arial" w:cs="Arial" w:eastAsia="Arial" w:hAnsi="Arial"/>
                <w:sz w:val="16"/>
                <w:szCs w:val="16"/>
                <w:color w:val="auto"/>
              </w:rPr>
              <w:t xml:space="preserve">19 $</w:t>
            </w:r>
          </w:p>
        </w:tc>
        <w:tc>
          <w:tcPr>
            <w:tcW w:w="2040" w:type="dxa"/>
            <w:vAlign w:val="bottom"/>
            <w:tcBorders>
              <w:bottom w:val="single" w:sz="8" w:color="auto"/>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248 $</w:t>
            </w:r>
          </w:p>
        </w:tc>
      </w:tr>
      <w:tr>
        <w:trPr>
          <w:trHeight w:val="197"/>
        </w:trPr>
        <w:tc>
          <w:tcPr>
            <w:tcW w:w="642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Επίπτωση του ετήσιου κόστους (*)</w:t>
            </w:r>
          </w:p>
        </w:tc>
        <w:tc>
          <w:tcPr>
            <w:tcW w:w="2360" w:type="dxa"/>
            <w:vAlign w:val="bottom"/>
          </w:tcPr>
          <w:p>
            <w:pPr xmlns:w="http://schemas.openxmlformats.org/wordprocessingml/2006/main">
              <w:ind w:left="600"/>
              <w:spacing w:after="0"/>
              <w:rPr>
                <w:sz w:val="20"/>
                <w:szCs w:val="20"/>
                <w:color w:val="auto"/>
              </w:rPr>
            </w:pPr>
            <w:r>
              <w:rPr xmlns:w="http://schemas.openxmlformats.org/wordprocessingml/2006/main">
                <w:rFonts w:ascii="Arial" w:cs="Arial" w:eastAsia="Arial" w:hAnsi="Arial"/>
                <w:sz w:val="16"/>
                <w:szCs w:val="16"/>
                <w:color w:val="auto"/>
              </w:rPr>
              <w:t xml:space="preserve">0,2%</w:t>
            </w:r>
          </w:p>
        </w:tc>
        <w:tc>
          <w:tcPr>
            <w:tcW w:w="204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0,2%</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17145</wp:posOffset>
            </wp:positionH>
            <wp:positionV relativeFrom="paragraph">
              <wp:posOffset>-855345</wp:posOffset>
            </wp:positionV>
            <wp:extent cx="71755" cy="717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3">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17145</wp:posOffset>
            </wp:positionH>
            <wp:positionV relativeFrom="paragraph">
              <wp:posOffset>-721995</wp:posOffset>
            </wp:positionV>
            <wp:extent cx="71755" cy="717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4">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17145</wp:posOffset>
            </wp:positionH>
            <wp:positionV relativeFrom="paragraph">
              <wp:posOffset>-587375</wp:posOffset>
            </wp:positionV>
            <wp:extent cx="71755" cy="717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a:extLst>
                        <a:ext uri="{28A0092B-C50C-407E-A947-70E740481C1C}"/>
                      </a:extLst>
                    </a:blip>
                    <a:srcRect/>
                    <a:stretch>
                      <a:fillRect/>
                    </a:stretch>
                  </pic:blipFill>
                  <pic:spPr bwMode="auto">
                    <a:xfrm>
                      <a:off x="0" y="0"/>
                      <a:ext cx="71755" cy="71755"/>
                    </a:xfrm>
                    <a:prstGeom prst="rect">
                      <a:avLst/>
                    </a:prstGeom>
                    <a:noFill/>
                  </pic:spPr>
                </pic:pic>
              </a:graphicData>
            </a:graphic>
          </wp:anchor>
        </w:drawing>
        <mc:AlternateContent>
          <mc:Choice Requires="wps">
            <w:drawing>
              <wp:anchor simplePos="0" relativeHeight="251657728" behindDoc="1" locked="0" layoutInCell="0" allowOverlap="1">
                <wp:simplePos x="0" y="0"/>
                <wp:positionH relativeFrom="column">
                  <wp:posOffset>2540</wp:posOffset>
                </wp:positionH>
                <wp:positionV relativeFrom="paragraph">
                  <wp:posOffset>-6350</wp:posOffset>
                </wp:positionV>
                <wp:extent cx="6867525"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67525" cy="4763"/>
                        </a:xfrm>
                        <a:prstGeom prst="line">
                          <a:avLst/>
                        </a:prstGeom>
                        <a:solidFill>
                          <a:srgbClr val="FFFFFF"/>
                        </a:solidFill>
                        <a:ln w="12179">
                          <a:solidFill>
                            <a:srgbClr val="000000"/>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pt,-0.4999pt" to="540.95pt,-0.4999pt" o:allowincell="f" strokecolor="#000000" strokeweight="0.959pt"/>
            </w:pict>
          </mc:Fallback>
        </mc:AlternateContent>
      </w:r>
    </w:p>
    <w:p>
      <w:pPr xmlns:w="http://schemas.openxmlformats.org/wordprocessingml/2006/main">
        <w:ind w:left="40" w:right="340" w:hanging="9"/>
        <w:spacing w:after="0" w:line="253" w:lineRule="auto"/>
        <w:tabs>
          <w:tab w:leader="none" w:pos="270"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Αυτό δείχνει πώς μειώνεται το κόστος της επιστροφής σας κάθε χρόνο κατά τη διάρκεια της περιόδου αναμονής.</w:t>
      </w:r>
      <w:r>
        <w:rPr xmlns:w="http://schemas.openxmlformats.org/wordprocessingml/2006/main">
          <w:rFonts w:ascii="Arial" w:cs="Arial" w:eastAsia="Arial" w:hAnsi="Arial"/>
          <w:sz w:val="16"/>
          <w:szCs w:val="16"/>
          <w:color w:val="auto"/>
        </w:rPr>
        <w:t xml:space="preserve"> Για παράδειγμα, αν φύγετε μετά τη συνιστώμενη περίοδο αναμονής, η μέση απόδοση ανά έτος θα είναι 20,7% πριν από το κόστος και 20,5% μετά το κόστος.</w:t>
      </w:r>
    </w:p>
    <w:p>
      <w:pPr xmlns:w="http://schemas.openxmlformats.org/wordprocessingml/2006/main">
        <w:ind w:left="40" w:right="480"/>
        <w:spacing w:after="0" w:line="247" w:lineRule="auto"/>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Μπορεί να μοιραστούμε μέρος του κόστους με το πρόσωπο που σας πουλάει το προϊόν για να καλύψουμε τις υπηρεσίες που σας παρέχει.</w:t>
      </w:r>
      <w:r>
        <w:rPr xmlns:w="http://schemas.openxmlformats.org/wordprocessingml/2006/main">
          <w:rFonts w:ascii="Arial" w:cs="Arial" w:eastAsia="Arial" w:hAnsi="Arial"/>
          <w:sz w:val="16"/>
          <w:szCs w:val="16"/>
          <w:color w:val="auto"/>
        </w:rPr>
        <w:t xml:space="preserve"> Το άτομο θα σας ενημερώσει για το ποσό.</w:t>
      </w:r>
    </w:p>
    <w:p>
      <w:pPr xmlns:w="http://schemas.openxmlformats.org/wordprocessingml/2006/main">
        <w:ind w:left="60"/>
        <w:spacing w:after="0"/>
        <w:rPr>
          <w:rFonts w:ascii="Arial" w:cs="Arial" w:eastAsia="Arial" w:hAnsi="Arial"/>
          <w:sz w:val="16"/>
          <w:szCs w:val="16"/>
          <w:color w:val="auto"/>
        </w:rPr>
      </w:pPr>
      <w:r>
        <w:rPr xmlns:w="http://schemas.openxmlformats.org/wordprocessingml/2006/main">
          <w:rFonts w:ascii="Arial" w:cs="Arial" w:eastAsia="Arial" w:hAnsi="Arial"/>
          <w:sz w:val="16"/>
          <w:szCs w:val="16"/>
          <w:b w:val="1"/>
          <w:bCs w:val="1"/>
          <w:color w:val="FFFFFF"/>
        </w:rPr>
        <w:t xml:space="preserve">Σύνθεση των εξόδων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17145</wp:posOffset>
            </wp:positionH>
            <wp:positionV relativeFrom="paragraph">
              <wp:posOffset>-117475</wp:posOffset>
            </wp:positionV>
            <wp:extent cx="6840220" cy="49657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6">
                      <a:extLst>
                        <a:ext uri="{28A0092B-C50C-407E-A947-70E740481C1C}"/>
                      </a:extLst>
                    </a:blip>
                    <a:srcRect/>
                    <a:stretch>
                      <a:fillRect/>
                    </a:stretch>
                  </pic:blipFill>
                  <pic:spPr bwMode="auto">
                    <a:xfrm>
                      <a:off x="0" y="0"/>
                      <a:ext cx="6840220" cy="496570"/>
                    </a:xfrm>
                    <a:prstGeom prst="rect">
                      <a:avLst/>
                    </a:prstGeom>
                    <a:noFill/>
                  </pic:spPr>
                </pic:pic>
              </a:graphicData>
            </a:graphic>
          </wp:anchor>
        </w:drawing>
      </w:r>
    </w:p>
    <w:p>
      <w:pPr>
        <w:spacing w:after="0" w:line="17" w:lineRule="exact"/>
        <w:rPr>
          <w:sz w:val="20"/>
          <w:szCs w:val="20"/>
          <w:color w:val="auto"/>
        </w:rPr>
      </w:pPr>
    </w:p>
    <w:tbl>
      <w:tblPr>
        <w:tblLayout w:type="fixed"/>
        <w:tblInd w:w="0" w:type="dxa"/>
        <w:tblCellMar>
          <w:top w:w="0" w:type="dxa"/>
          <w:left w:w="0" w:type="dxa"/>
          <w:bottom w:w="0" w:type="dxa"/>
          <w:right w:w="0" w:type="dxa"/>
        </w:tblCellMar>
      </w:tblPr>
      <w:tr>
        <w:trPr>
          <w:trHeight w:val="184"/>
        </w:trPr>
        <w:tc>
          <w:tcPr>
            <w:tcW w:w="20" w:type="dxa"/>
            <w:vAlign w:val="bottom"/>
          </w:tcPr>
          <w:p>
            <w:pPr>
              <w:spacing w:after="0"/>
              <w:rPr>
                <w:sz w:val="16"/>
                <w:szCs w:val="16"/>
                <w:color w:val="auto"/>
              </w:rPr>
            </w:pPr>
          </w:p>
        </w:tc>
        <w:tc>
          <w:tcPr>
            <w:tcW w:w="2180" w:type="dxa"/>
            <w:vAlign w:val="bottom"/>
          </w:tcPr>
          <w:p>
            <w:pPr>
              <w:spacing w:after="0"/>
              <w:rPr>
                <w:sz w:val="16"/>
                <w:szCs w:val="16"/>
                <w:color w:val="auto"/>
              </w:rPr>
            </w:pPr>
          </w:p>
        </w:tc>
        <w:tc>
          <w:tcPr>
            <w:tcW w:w="6960" w:type="dxa"/>
            <w:vAlign w:val="bottom"/>
          </w:tcPr>
          <w:p>
            <w:pPr>
              <w:spacing w:after="0"/>
              <w:rPr>
                <w:sz w:val="16"/>
                <w:szCs w:val="16"/>
                <w:color w:val="auto"/>
              </w:rPr>
            </w:pPr>
          </w:p>
        </w:tc>
        <w:tc>
          <w:tcPr>
            <w:tcW w:w="168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w:t>
            </w:r>
          </w:p>
        </w:tc>
        <w:tc>
          <w:tcPr>
            <w:tcW w:w="0" w:type="dxa"/>
            <w:vAlign w:val="bottom"/>
          </w:tcPr>
          <w:p>
            <w:pPr>
              <w:spacing w:after="0"/>
              <w:rPr>
                <w:sz w:val="1"/>
                <w:szCs w:val="1"/>
                <w:color w:val="auto"/>
              </w:rPr>
            </w:pPr>
          </w:p>
        </w:tc>
      </w:tr>
      <w:tr>
        <w:trPr>
          <w:trHeight w:val="174"/>
        </w:trPr>
        <w:tc>
          <w:tcPr>
            <w:tcW w:w="20" w:type="dxa"/>
            <w:vAlign w:val="bottom"/>
          </w:tcPr>
          <w:p>
            <w:pPr>
              <w:spacing w:after="0"/>
              <w:rPr>
                <w:sz w:val="15"/>
                <w:szCs w:val="15"/>
                <w:color w:val="auto"/>
              </w:rPr>
            </w:pPr>
          </w:p>
        </w:tc>
        <w:tc>
          <w:tcPr>
            <w:tcW w:w="218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Δαπάνες μιας εισόδου ή εξόδου</w:t>
            </w:r>
          </w:p>
        </w:tc>
        <w:tc>
          <w:tcPr>
            <w:tcW w:w="6960" w:type="dxa"/>
            <w:vAlign w:val="bottom"/>
          </w:tcPr>
          <w:p>
            <w:pPr>
              <w:spacing w:after="0"/>
              <w:rPr>
                <w:sz w:val="15"/>
                <w:szCs w:val="15"/>
                <w:color w:val="auto"/>
              </w:rPr>
            </w:pPr>
          </w:p>
        </w:tc>
        <w:tc>
          <w:tcPr>
            <w:tcW w:w="1680" w:type="dxa"/>
            <w:vAlign w:val="bottom"/>
          </w:tcPr>
          <w:p>
            <w:pPr xmlns:w="http://schemas.openxmlformats.org/wordprocessingml/2006/main">
              <w:ind w:left="60"/>
              <w:spacing w:after="0" w:line="174"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αποβίβαση μετά από 1</w:t>
            </w: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180" w:type="dxa"/>
            <w:vAlign w:val="bottom"/>
            <w:tcBorders>
              <w:bottom w:val="single" w:sz="8" w:color="auto"/>
            </w:tcBorders>
            <w:vMerge w:val="continue"/>
          </w:tcPr>
          <w:p>
            <w:pPr>
              <w:spacing w:after="0"/>
              <w:rPr>
                <w:sz w:val="17"/>
                <w:szCs w:val="17"/>
                <w:color w:val="auto"/>
              </w:rPr>
            </w:pPr>
          </w:p>
        </w:tc>
        <w:tc>
          <w:tcPr>
            <w:tcW w:w="6960" w:type="dxa"/>
            <w:vAlign w:val="bottom"/>
            <w:tcBorders>
              <w:bottom w:val="single" w:sz="8" w:color="auto"/>
            </w:tcBorders>
          </w:tcPr>
          <w:p>
            <w:pPr>
              <w:spacing w:after="0"/>
              <w:rPr>
                <w:sz w:val="17"/>
                <w:szCs w:val="17"/>
                <w:color w:val="auto"/>
              </w:rPr>
            </w:pPr>
          </w:p>
        </w:tc>
        <w:tc>
          <w:tcPr>
            <w:tcW w:w="1680" w:type="dxa"/>
            <w:vAlign w:val="bottom"/>
            <w:tcBorders>
              <w:bottom w:val="single" w:sz="8" w:color="auto"/>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Έτος</w:t>
            </w:r>
          </w:p>
        </w:tc>
        <w:tc>
          <w:tcPr>
            <w:tcW w:w="0" w:type="dxa"/>
            <w:vAlign w:val="bottom"/>
          </w:tcPr>
          <w:p>
            <w:pPr>
              <w:spacing w:after="0"/>
              <w:rPr>
                <w:sz w:val="1"/>
                <w:szCs w:val="1"/>
                <w:color w:val="auto"/>
              </w:rPr>
            </w:pPr>
          </w:p>
        </w:tc>
      </w:tr>
      <w:tr>
        <w:trPr>
          <w:trHeight w:val="193"/>
        </w:trPr>
        <w:tc>
          <w:tcPr>
            <w:tcW w:w="20" w:type="dxa"/>
            <w:vAlign w:val="bottom"/>
          </w:tcPr>
          <w:p>
            <w:pPr>
              <w:spacing w:after="0"/>
              <w:rPr>
                <w:sz w:val="16"/>
                <w:szCs w:val="16"/>
                <w:color w:val="auto"/>
              </w:rPr>
            </w:pPr>
          </w:p>
        </w:tc>
        <w:tc>
          <w:tcPr>
            <w:tcW w:w="21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κόστος εισόδου</w:t>
            </w:r>
          </w:p>
        </w:tc>
        <w:tc>
          <w:tcPr>
            <w:tcW w:w="6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Δεν ισχύει για τους επενδυτές της δευτερογενούς αγοράς.</w:t>
            </w:r>
            <w:r>
              <w:rPr xmlns:w="http://schemas.openxmlformats.org/wordprocessingml/2006/main">
                <w:rFonts w:ascii="Arial" w:cs="Arial" w:eastAsia="Arial" w:hAnsi="Arial"/>
                <w:sz w:val="16"/>
                <w:szCs w:val="16"/>
                <w:color w:val="auto"/>
              </w:rPr>
              <w:t xml:space="preserve"> Οι επενδυτές που διαπραγματεύονται χρηματιστήρια πληρώνουν</w:t>
            </w:r>
          </w:p>
        </w:tc>
        <w:tc>
          <w:tcPr>
            <w:tcW w:w="168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0" w:type="dxa"/>
            <w:vAlign w:val="bottom"/>
          </w:tcPr>
          <w:p>
            <w:pPr>
              <w:spacing w:after="0"/>
              <w:rPr>
                <w:sz w:val="1"/>
                <w:szCs w:val="1"/>
                <w:color w:val="auto"/>
              </w:rPr>
            </w:pPr>
          </w:p>
        </w:tc>
      </w:tr>
      <w:tr>
        <w:trPr>
          <w:trHeight w:val="194"/>
        </w:trPr>
        <w:tc>
          <w:tcPr>
            <w:tcW w:w="20" w:type="dxa"/>
            <w:vAlign w:val="bottom"/>
          </w:tcPr>
          <w:p>
            <w:pPr>
              <w:spacing w:after="0"/>
              <w:rPr>
                <w:sz w:val="16"/>
                <w:szCs w:val="16"/>
                <w:color w:val="auto"/>
              </w:rPr>
            </w:pPr>
          </w:p>
        </w:tc>
        <w:tc>
          <w:tcPr>
            <w:tcW w:w="2180" w:type="dxa"/>
            <w:vAlign w:val="bottom"/>
          </w:tcPr>
          <w:p>
            <w:pPr>
              <w:spacing w:after="0"/>
              <w:rPr>
                <w:sz w:val="16"/>
                <w:szCs w:val="16"/>
                <w:color w:val="auto"/>
              </w:rPr>
            </w:pPr>
          </w:p>
        </w:tc>
        <w:tc>
          <w:tcPr>
            <w:tcW w:w="6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τέλη που χρεώνουν οι χρηματιστές.</w:t>
            </w:r>
            <w:r>
              <w:rPr xmlns:w="http://schemas.openxmlformats.org/wordprocessingml/2006/main">
                <w:rFonts w:ascii="Arial" w:cs="Arial" w:eastAsia="Arial" w:hAnsi="Arial"/>
                <w:sz w:val="16"/>
                <w:szCs w:val="16"/>
                <w:color w:val="auto"/>
              </w:rPr>
              <w:t xml:space="preserve"> Τα τέλη αυτά μπορούν να καταβάλλονται σε χρηματιστήρια,</w:t>
            </w:r>
          </w:p>
        </w:tc>
        <w:tc>
          <w:tcPr>
            <w:tcW w:w="16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2"/>
        </w:trPr>
        <w:tc>
          <w:tcPr>
            <w:tcW w:w="20" w:type="dxa"/>
            <w:vAlign w:val="bottom"/>
          </w:tcPr>
          <w:p>
            <w:pPr>
              <w:spacing w:after="0"/>
              <w:rPr>
                <w:sz w:val="16"/>
                <w:szCs w:val="16"/>
                <w:color w:val="auto"/>
              </w:rPr>
            </w:pPr>
          </w:p>
        </w:tc>
        <w:tc>
          <w:tcPr>
            <w:tcW w:w="2180" w:type="dxa"/>
            <w:vAlign w:val="bottom"/>
          </w:tcPr>
          <w:p>
            <w:pPr>
              <w:spacing w:after="0"/>
              <w:rPr>
                <w:sz w:val="16"/>
                <w:szCs w:val="16"/>
                <w:color w:val="auto"/>
              </w:rPr>
            </w:pPr>
          </w:p>
        </w:tc>
        <w:tc>
          <w:tcPr>
            <w:tcW w:w="6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εκ των οποίων οι μετοχές είναι εισηγμένες και αποτελούν αντικείμενο διαπραγμάτευσης ή έχουν αυξηθεί από χρηματιστές</w:t>
            </w:r>
          </w:p>
        </w:tc>
        <w:tc>
          <w:tcPr>
            <w:tcW w:w="16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6960" w:type="dxa"/>
            <w:vAlign w:val="bottom"/>
          </w:tcPr>
          <w:p>
            <w:pPr xmlns:w="http://schemas.openxmlformats.org/wordprocessingml/2006/main">
              <w:ind w:left="20"/>
              <w:spacing w:after="0" w:line="172" w:lineRule="exact"/>
              <w:rPr>
                <w:sz w:val="20"/>
                <w:szCs w:val="20"/>
                <w:color w:val="auto"/>
              </w:rPr>
            </w:pPr>
            <w:r>
              <w:rPr xmlns:w="http://schemas.openxmlformats.org/wordprocessingml/2006/main">
                <w:rFonts w:ascii="Arial" w:cs="Arial" w:eastAsia="Arial" w:hAnsi="Arial"/>
                <w:sz w:val="16"/>
                <w:szCs w:val="16"/>
                <w:color w:val="auto"/>
              </w:rPr>
              <w:t xml:space="preserve">στην Κοινότητα.</w:t>
            </w:r>
            <w:r>
              <w:rPr xmlns:w="http://schemas.openxmlformats.org/wordprocessingml/2006/main">
                <w:rFonts w:ascii="Arial" w:cs="Arial" w:eastAsia="Arial" w:hAnsi="Arial"/>
                <w:sz w:val="16"/>
                <w:szCs w:val="16"/>
                <w:color w:val="auto"/>
              </w:rPr>
              <w:t xml:space="preserve"> Εξουσιοδοτημένοι συμμετέχοντες που συνδέονται άμεσα με το ταμείο ή την εταιρεία διαχείρισης</w:t>
            </w:r>
          </w:p>
        </w:tc>
        <w:tc>
          <w:tcPr>
            <w:tcW w:w="16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1"/>
        </w:trPr>
        <w:tc>
          <w:tcPr>
            <w:tcW w:w="20" w:type="dxa"/>
            <w:vAlign w:val="bottom"/>
          </w:tcPr>
          <w:p>
            <w:pPr>
              <w:spacing w:after="0"/>
              <w:rPr>
                <w:sz w:val="17"/>
                <w:szCs w:val="17"/>
                <w:color w:val="auto"/>
              </w:rPr>
            </w:pPr>
          </w:p>
        </w:tc>
        <w:tc>
          <w:tcPr>
            <w:tcW w:w="2180" w:type="dxa"/>
            <w:vAlign w:val="bottom"/>
            <w:tcBorders>
              <w:bottom w:val="single" w:sz="8" w:color="auto"/>
            </w:tcBorders>
          </w:tcPr>
          <w:p>
            <w:pPr>
              <w:spacing w:after="0"/>
              <w:rPr>
                <w:sz w:val="17"/>
                <w:szCs w:val="17"/>
                <w:color w:val="auto"/>
              </w:rPr>
            </w:pPr>
          </w:p>
        </w:tc>
        <w:tc>
          <w:tcPr>
            <w:tcW w:w="6960" w:type="dxa"/>
            <w:vAlign w:val="bottom"/>
            <w:tcBorders>
              <w:bottom w:val="single" w:sz="8" w:color="auto"/>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και τα σχετικά κόστη συναλλαγών.</w:t>
            </w:r>
          </w:p>
        </w:tc>
        <w:tc>
          <w:tcPr>
            <w:tcW w:w="168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188"/>
        </w:trPr>
        <w:tc>
          <w:tcPr>
            <w:tcW w:w="20" w:type="dxa"/>
            <w:vAlign w:val="bottom"/>
          </w:tcPr>
          <w:p>
            <w:pPr>
              <w:spacing w:after="0"/>
              <w:rPr>
                <w:sz w:val="16"/>
                <w:szCs w:val="16"/>
                <w:color w:val="auto"/>
              </w:rPr>
            </w:pPr>
          </w:p>
        </w:tc>
        <w:tc>
          <w:tcPr>
            <w:tcW w:w="21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κόστος εξόδου</w:t>
            </w:r>
          </w:p>
        </w:tc>
        <w:tc>
          <w:tcPr>
            <w:tcW w:w="6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Δεν ισχύει για τους επενδυτές της δευτερογενούς αγοράς.</w:t>
            </w:r>
            <w:r>
              <w:rPr xmlns:w="http://schemas.openxmlformats.org/wordprocessingml/2006/main">
                <w:rFonts w:ascii="Arial" w:cs="Arial" w:eastAsia="Arial" w:hAnsi="Arial"/>
                <w:sz w:val="16"/>
                <w:szCs w:val="16"/>
                <w:color w:val="auto"/>
              </w:rPr>
              <w:t xml:space="preserve"> Οι επενδυτές που διαπραγματεύονται χρηματιστήρια πληρώνουν</w:t>
            </w:r>
          </w:p>
        </w:tc>
        <w:tc>
          <w:tcPr>
            <w:tcW w:w="168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2180" w:type="dxa"/>
            <w:vAlign w:val="bottom"/>
          </w:tcPr>
          <w:p>
            <w:pPr>
              <w:spacing w:after="0"/>
              <w:rPr>
                <w:sz w:val="16"/>
                <w:szCs w:val="16"/>
                <w:color w:val="auto"/>
              </w:rPr>
            </w:pPr>
          </w:p>
        </w:tc>
        <w:tc>
          <w:tcPr>
            <w:tcW w:w="6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τέλη που χρεώνουν οι χρηματιστές.</w:t>
            </w:r>
            <w:r>
              <w:rPr xmlns:w="http://schemas.openxmlformats.org/wordprocessingml/2006/main">
                <w:rFonts w:ascii="Arial" w:cs="Arial" w:eastAsia="Arial" w:hAnsi="Arial"/>
                <w:sz w:val="16"/>
                <w:szCs w:val="16"/>
                <w:color w:val="auto"/>
              </w:rPr>
              <w:t xml:space="preserve"> Τα τέλη αυτά μπορούν να καταβάλλονται σε χρηματιστήρια,</w:t>
            </w:r>
          </w:p>
        </w:tc>
        <w:tc>
          <w:tcPr>
            <w:tcW w:w="16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94"/>
        </w:trPr>
        <w:tc>
          <w:tcPr>
            <w:tcW w:w="20" w:type="dxa"/>
            <w:vAlign w:val="bottom"/>
          </w:tcPr>
          <w:p>
            <w:pPr>
              <w:spacing w:after="0"/>
              <w:rPr>
                <w:sz w:val="16"/>
                <w:szCs w:val="16"/>
                <w:color w:val="auto"/>
              </w:rPr>
            </w:pPr>
          </w:p>
        </w:tc>
        <w:tc>
          <w:tcPr>
            <w:tcW w:w="2180" w:type="dxa"/>
            <w:vAlign w:val="bottom"/>
          </w:tcPr>
          <w:p>
            <w:pPr>
              <w:spacing w:after="0"/>
              <w:rPr>
                <w:sz w:val="16"/>
                <w:szCs w:val="16"/>
                <w:color w:val="auto"/>
              </w:rPr>
            </w:pPr>
          </w:p>
        </w:tc>
        <w:tc>
          <w:tcPr>
            <w:tcW w:w="6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εκ των οποίων οι μετοχές είναι εισηγμένες και αποτελούν αντικείμενο διαπραγμάτευσης ή έχουν αυξηθεί από χρηματιστές</w:t>
            </w:r>
          </w:p>
        </w:tc>
        <w:tc>
          <w:tcPr>
            <w:tcW w:w="16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2"/>
        </w:trPr>
        <w:tc>
          <w:tcPr>
            <w:tcW w:w="20" w:type="dxa"/>
            <w:vAlign w:val="bottom"/>
          </w:tcPr>
          <w:p>
            <w:pPr>
              <w:spacing w:after="0"/>
              <w:rPr>
                <w:sz w:val="14"/>
                <w:szCs w:val="14"/>
                <w:color w:val="auto"/>
              </w:rPr>
            </w:pPr>
          </w:p>
        </w:tc>
        <w:tc>
          <w:tcPr>
            <w:tcW w:w="2180" w:type="dxa"/>
            <w:vAlign w:val="bottom"/>
          </w:tcPr>
          <w:p>
            <w:pPr>
              <w:spacing w:after="0"/>
              <w:rPr>
                <w:sz w:val="14"/>
                <w:szCs w:val="14"/>
                <w:color w:val="auto"/>
              </w:rPr>
            </w:pPr>
          </w:p>
        </w:tc>
        <w:tc>
          <w:tcPr>
            <w:tcW w:w="6960" w:type="dxa"/>
            <w:vAlign w:val="bottom"/>
          </w:tcPr>
          <w:p>
            <w:pPr xmlns:w="http://schemas.openxmlformats.org/wordprocessingml/2006/main">
              <w:ind w:left="20"/>
              <w:spacing w:after="0" w:line="172" w:lineRule="exact"/>
              <w:rPr>
                <w:sz w:val="20"/>
                <w:szCs w:val="20"/>
                <w:color w:val="auto"/>
              </w:rPr>
            </w:pPr>
            <w:r>
              <w:rPr xmlns:w="http://schemas.openxmlformats.org/wordprocessingml/2006/main">
                <w:rFonts w:ascii="Arial" w:cs="Arial" w:eastAsia="Arial" w:hAnsi="Arial"/>
                <w:sz w:val="16"/>
                <w:szCs w:val="16"/>
                <w:color w:val="auto"/>
              </w:rPr>
              <w:t xml:space="preserve">στην Κοινότητα.</w:t>
            </w:r>
            <w:r>
              <w:rPr xmlns:w="http://schemas.openxmlformats.org/wordprocessingml/2006/main">
                <w:rFonts w:ascii="Arial" w:cs="Arial" w:eastAsia="Arial" w:hAnsi="Arial"/>
                <w:sz w:val="16"/>
                <w:szCs w:val="16"/>
                <w:color w:val="auto"/>
              </w:rPr>
              <w:t xml:space="preserve"> Εξουσιοδοτημένοι συμμετέχοντες που συνδέονται άμεσα με το ταμείο ή την εταιρεία διαχείρισης</w:t>
            </w:r>
          </w:p>
        </w:tc>
        <w:tc>
          <w:tcPr>
            <w:tcW w:w="16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3"/>
        </w:trPr>
        <w:tc>
          <w:tcPr>
            <w:tcW w:w="20" w:type="dxa"/>
            <w:vAlign w:val="bottom"/>
          </w:tcPr>
          <w:p>
            <w:pPr>
              <w:spacing w:after="0"/>
              <w:rPr>
                <w:sz w:val="17"/>
                <w:szCs w:val="17"/>
                <w:color w:val="auto"/>
              </w:rPr>
            </w:pPr>
          </w:p>
        </w:tc>
        <w:tc>
          <w:tcPr>
            <w:tcW w:w="2180" w:type="dxa"/>
            <w:vAlign w:val="bottom"/>
          </w:tcPr>
          <w:p>
            <w:pPr>
              <w:spacing w:after="0"/>
              <w:rPr>
                <w:sz w:val="17"/>
                <w:szCs w:val="17"/>
                <w:color w:val="auto"/>
              </w:rPr>
            </w:pPr>
          </w:p>
        </w:tc>
        <w:tc>
          <w:tcPr>
            <w:tcW w:w="6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και τα σχετικά κόστη συναλλαγών.</w:t>
            </w:r>
          </w:p>
        </w:tc>
        <w:tc>
          <w:tcPr>
            <w:tcW w:w="16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218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Ετήσιες τρέχουσες δαπάνες</w:t>
            </w:r>
          </w:p>
        </w:tc>
        <w:tc>
          <w:tcPr>
            <w:tcW w:w="6960" w:type="dxa"/>
            <w:vAlign w:val="bottom"/>
            <w:shd w:val="clear" w:color="auto" w:fill="000000"/>
          </w:tcPr>
          <w:p>
            <w:pPr>
              <w:spacing w:after="0"/>
              <w:rPr>
                <w:sz w:val="17"/>
                <w:szCs w:val="17"/>
                <w:color w:val="auto"/>
              </w:rPr>
            </w:pPr>
          </w:p>
        </w:tc>
        <w:tc>
          <w:tcPr>
            <w:tcW w:w="1680" w:type="dxa"/>
            <w:vAlign w:val="bottom"/>
            <w:shd w:val="clear" w:color="auto" w:fill="000000"/>
          </w:tcPr>
          <w:p>
            <w:pPr>
              <w:spacing w:after="0"/>
              <w:rPr>
                <w:sz w:val="17"/>
                <w:szCs w:val="17"/>
                <w:color w:val="auto"/>
              </w:rPr>
            </w:pPr>
          </w:p>
        </w:tc>
        <w:tc>
          <w:tcPr>
            <w:tcW w:w="0" w:type="dxa"/>
            <w:vAlign w:val="bottom"/>
          </w:tcPr>
          <w:p>
            <w:pPr>
              <w:spacing w:after="0"/>
              <w:rPr>
                <w:sz w:val="1"/>
                <w:szCs w:val="1"/>
                <w:color w:val="auto"/>
              </w:rPr>
            </w:pPr>
          </w:p>
        </w:tc>
      </w:tr>
      <w:tr>
        <w:trPr>
          <w:trHeight w:val="201"/>
        </w:trPr>
        <w:tc>
          <w:tcPr>
            <w:tcW w:w="20" w:type="dxa"/>
            <w:vAlign w:val="bottom"/>
          </w:tcPr>
          <w:p>
            <w:pPr>
              <w:spacing w:after="0"/>
              <w:rPr>
                <w:sz w:val="17"/>
                <w:szCs w:val="17"/>
                <w:color w:val="auto"/>
              </w:rPr>
            </w:pPr>
          </w:p>
        </w:tc>
        <w:tc>
          <w:tcPr>
            <w:tcW w:w="21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τα έξοδα διαχείρισης και</w:t>
            </w:r>
          </w:p>
        </w:tc>
        <w:tc>
          <w:tcPr>
            <w:tcW w:w="6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0,2% της αξίας της επένδυσής σας ανά έτος.</w:t>
            </w:r>
            <w:r>
              <w:rPr xmlns:w="http://schemas.openxmlformats.org/wordprocessingml/2006/main">
                <w:rFonts w:ascii="Arial" w:cs="Arial" w:eastAsia="Arial" w:hAnsi="Arial"/>
                <w:sz w:val="16"/>
                <w:szCs w:val="16"/>
                <w:color w:val="auto"/>
              </w:rPr>
              <w:t xml:space="preserve"> Αυτή η τιμή βασίζεται σε ένα συνδυασμό</w:t>
            </w:r>
          </w:p>
        </w:tc>
        <w:tc>
          <w:tcPr>
            <w:tcW w:w="168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15 $</w:t>
            </w:r>
          </w:p>
        </w:tc>
        <w:tc>
          <w:tcPr>
            <w:tcW w:w="0" w:type="dxa"/>
            <w:vAlign w:val="bottom"/>
          </w:tcPr>
          <w:p>
            <w:pPr>
              <w:spacing w:after="0"/>
              <w:rPr>
                <w:sz w:val="1"/>
                <w:szCs w:val="1"/>
                <w:color w:val="auto"/>
              </w:rPr>
            </w:pPr>
          </w:p>
        </w:tc>
      </w:tr>
      <w:tr>
        <w:trPr>
          <w:trHeight w:val="190"/>
        </w:trPr>
        <w:tc>
          <w:tcPr>
            <w:tcW w:w="20" w:type="dxa"/>
            <w:vAlign w:val="bottom"/>
          </w:tcPr>
          <w:p>
            <w:pPr>
              <w:spacing w:after="0"/>
              <w:rPr>
                <w:sz w:val="16"/>
                <w:szCs w:val="16"/>
                <w:color w:val="auto"/>
              </w:rPr>
            </w:pPr>
          </w:p>
        </w:tc>
        <w:tc>
          <w:tcPr>
            <w:tcW w:w="21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άλλες διοικητικές</w:t>
            </w:r>
          </w:p>
        </w:tc>
        <w:tc>
          <w:tcPr>
            <w:tcW w:w="6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δεδομένα εκτιμώμενου και πραγματικού κόστους για το προηγούμενο έτος.</w:t>
            </w:r>
            <w:r>
              <w:rPr xmlns:w="http://schemas.openxmlformats.org/wordprocessingml/2006/main">
                <w:rFonts w:ascii="Arial" w:cs="Arial" w:eastAsia="Arial" w:hAnsi="Arial"/>
                <w:sz w:val="16"/>
                <w:szCs w:val="16"/>
                <w:color w:val="auto"/>
              </w:rPr>
              <w:t xml:space="preserve"> Περιλαμβάνονται:</w:t>
            </w:r>
          </w:p>
        </w:tc>
        <w:tc>
          <w:tcPr>
            <w:tcW w:w="16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180" w:type="dxa"/>
            <w:vAlign w:val="bottom"/>
          </w:tcPr>
          <w:p>
            <w:pPr xmlns:w="http://schemas.openxmlformats.org/wordprocessingml/2006/main">
              <w:ind w:left="4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ή λειτουργικά έξοδα</w:t>
            </w:r>
          </w:p>
        </w:tc>
        <w:tc>
          <w:tcPr>
            <w:tcW w:w="6960" w:type="dxa"/>
            <w:vAlign w:val="bottom"/>
          </w:tcPr>
          <w:p>
            <w:pPr xmlns:w="http://schemas.openxmlformats.org/wordprocessingml/2006/main">
              <w:ind w:left="2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που περιλαμβάνονται στο παράρτημα IV.1.2.2.2.2011.</w:t>
            </w:r>
          </w:p>
        </w:tc>
        <w:tc>
          <w:tcPr>
            <w:tcW w:w="16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2180" w:type="dxa"/>
            <w:vAlign w:val="bottom"/>
            <w:tcBorders>
              <w:bottom w:val="single" w:sz="8" w:color="auto"/>
            </w:tcBorders>
          </w:tcPr>
          <w:p>
            <w:pPr>
              <w:spacing w:after="0"/>
              <w:rPr>
                <w:sz w:val="17"/>
                <w:szCs w:val="17"/>
                <w:color w:val="auto"/>
              </w:rPr>
            </w:pPr>
          </w:p>
        </w:tc>
        <w:tc>
          <w:tcPr>
            <w:tcW w:w="6960" w:type="dxa"/>
            <w:vAlign w:val="bottom"/>
            <w:tcBorders>
              <w:bottom w:val="single" w:sz="8" w:color="auto"/>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στη συνέχεια στο « Κόστος συναλλαγής ».</w:t>
            </w:r>
          </w:p>
        </w:tc>
        <w:tc>
          <w:tcPr>
            <w:tcW w:w="1680" w:type="dxa"/>
            <w:vAlign w:val="bottom"/>
            <w:tcBorders>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186"/>
        </w:trPr>
        <w:tc>
          <w:tcPr>
            <w:tcW w:w="20" w:type="dxa"/>
            <w:vAlign w:val="bottom"/>
          </w:tcPr>
          <w:p>
            <w:pPr>
              <w:spacing w:after="0"/>
              <w:rPr>
                <w:sz w:val="16"/>
                <w:szCs w:val="16"/>
                <w:color w:val="auto"/>
              </w:rPr>
            </w:pPr>
          </w:p>
        </w:tc>
        <w:tc>
          <w:tcPr>
            <w:tcW w:w="218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κόστος συναλλαγής</w:t>
            </w:r>
          </w:p>
        </w:tc>
        <w:tc>
          <w:tcPr>
            <w:tcW w:w="6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0,0% της αξίας της επένδυσής σας ετησίως.</w:t>
            </w:r>
            <w:r>
              <w:rPr xmlns:w="http://schemas.openxmlformats.org/wordprocessingml/2006/main">
                <w:rFonts w:ascii="Arial" w:cs="Arial" w:eastAsia="Arial" w:hAnsi="Arial"/>
                <w:sz w:val="16"/>
                <w:szCs w:val="16"/>
                <w:color w:val="auto"/>
              </w:rPr>
              <w:t xml:space="preserve"> Αυτή είναι μια εκτίμηση του κόστους αγοράς</w:t>
            </w:r>
          </w:p>
        </w:tc>
        <w:tc>
          <w:tcPr>
            <w:tcW w:w="168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4 $</w:t>
            </w:r>
          </w:p>
        </w:tc>
        <w:tc>
          <w:tcPr>
            <w:tcW w:w="0" w:type="dxa"/>
            <w:vAlign w:val="bottom"/>
          </w:tcPr>
          <w:p>
            <w:pPr>
              <w:spacing w:after="0"/>
              <w:rPr>
                <w:sz w:val="1"/>
                <w:szCs w:val="1"/>
                <w:color w:val="auto"/>
              </w:rPr>
            </w:pPr>
          </w:p>
        </w:tc>
      </w:tr>
      <w:tr>
        <w:trPr>
          <w:trHeight w:val="176"/>
        </w:trPr>
        <w:tc>
          <w:tcPr>
            <w:tcW w:w="20" w:type="dxa"/>
            <w:vAlign w:val="bottom"/>
          </w:tcPr>
          <w:p>
            <w:pPr>
              <w:spacing w:after="0"/>
              <w:rPr>
                <w:sz w:val="15"/>
                <w:szCs w:val="15"/>
                <w:color w:val="auto"/>
              </w:rPr>
            </w:pPr>
          </w:p>
        </w:tc>
        <w:tc>
          <w:tcPr>
            <w:tcW w:w="2180" w:type="dxa"/>
            <w:vAlign w:val="bottom"/>
          </w:tcPr>
          <w:p>
            <w:pPr>
              <w:spacing w:after="0"/>
              <w:rPr>
                <w:sz w:val="15"/>
                <w:szCs w:val="15"/>
                <w:color w:val="auto"/>
              </w:rPr>
            </w:pPr>
          </w:p>
        </w:tc>
        <w:tc>
          <w:tcPr>
            <w:tcW w:w="6960" w:type="dxa"/>
            <w:vAlign w:val="bottom"/>
          </w:tcPr>
          <w:p>
            <w:pPr xmlns:w="http://schemas.openxmlformats.org/wordprocessingml/2006/main">
              <w:ind w:left="2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και την πώληση των υποκείμενων περιουσιακών στοιχείων για το προϊόν.</w:t>
            </w:r>
            <w:r>
              <w:rPr xmlns:w="http://schemas.openxmlformats.org/wordprocessingml/2006/main">
                <w:rFonts w:ascii="Arial" w:cs="Arial" w:eastAsia="Arial" w:hAnsi="Arial"/>
                <w:sz w:val="16"/>
                <w:szCs w:val="16"/>
                <w:color w:val="auto"/>
              </w:rPr>
              <w:t xml:space="preserve"> Η πραγματική</w:t>
            </w:r>
          </w:p>
        </w:tc>
        <w:tc>
          <w:tcPr>
            <w:tcW w:w="168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99"/>
        </w:trPr>
        <w:tc>
          <w:tcPr>
            <w:tcW w:w="20" w:type="dxa"/>
            <w:vAlign w:val="bottom"/>
          </w:tcPr>
          <w:p>
            <w:pPr>
              <w:spacing w:after="0"/>
              <w:rPr>
                <w:sz w:val="17"/>
                <w:szCs w:val="17"/>
                <w:color w:val="auto"/>
              </w:rPr>
            </w:pPr>
          </w:p>
        </w:tc>
        <w:tc>
          <w:tcPr>
            <w:tcW w:w="2180" w:type="dxa"/>
            <w:vAlign w:val="bottom"/>
          </w:tcPr>
          <w:p>
            <w:pPr>
              <w:spacing w:after="0"/>
              <w:rPr>
                <w:sz w:val="17"/>
                <w:szCs w:val="17"/>
                <w:color w:val="auto"/>
              </w:rPr>
            </w:pPr>
          </w:p>
        </w:tc>
        <w:tc>
          <w:tcPr>
            <w:tcW w:w="6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Το ποσό εξαρτάται από το πόσο αγοράζουμε και πουλάμε.</w:t>
            </w:r>
          </w:p>
        </w:tc>
        <w:tc>
          <w:tcPr>
            <w:tcW w:w="16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914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Δαπάνες που υπολογίζονται υπό ορισμένους όρους</w:t>
            </w:r>
          </w:p>
        </w:tc>
        <w:tc>
          <w:tcPr>
            <w:tcW w:w="1680" w:type="dxa"/>
            <w:vAlign w:val="bottom"/>
            <w:shd w:val="clear" w:color="auto" w:fill="000000"/>
          </w:tcPr>
          <w:p>
            <w:pPr>
              <w:spacing w:after="0"/>
              <w:rPr>
                <w:sz w:val="17"/>
                <w:szCs w:val="17"/>
                <w:color w:val="auto"/>
              </w:rPr>
            </w:pPr>
          </w:p>
        </w:tc>
        <w:tc>
          <w:tcPr>
            <w:tcW w:w="0" w:type="dxa"/>
            <w:vAlign w:val="bottom"/>
          </w:tcPr>
          <w:p>
            <w:pPr>
              <w:spacing w:after="0"/>
              <w:rPr>
                <w:sz w:val="1"/>
                <w:szCs w:val="1"/>
                <w:color w:val="auto"/>
              </w:rPr>
            </w:pPr>
          </w:p>
        </w:tc>
      </w:tr>
      <w:tr>
        <w:trPr>
          <w:trHeight w:val="194"/>
        </w:trPr>
        <w:tc>
          <w:tcPr>
            <w:tcW w:w="20" w:type="dxa"/>
            <w:vAlign w:val="bottom"/>
            <w:tcBorders>
              <w:bottom w:val="single" w:sz="8" w:color="auto"/>
            </w:tcBorders>
          </w:tcPr>
          <w:p>
            <w:pPr>
              <w:spacing w:after="0"/>
              <w:rPr>
                <w:sz w:val="16"/>
                <w:szCs w:val="16"/>
                <w:color w:val="auto"/>
              </w:rPr>
            </w:pPr>
          </w:p>
        </w:tc>
        <w:tc>
          <w:tcPr>
            <w:tcW w:w="21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τέλος επιτυχίας</w:t>
            </w:r>
          </w:p>
        </w:tc>
        <w:tc>
          <w:tcPr>
            <w:tcW w:w="6960" w:type="dxa"/>
            <w:vAlign w:val="bottom"/>
            <w:tcBorders>
              <w:bottom w:val="single" w:sz="8" w:color="auto"/>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Δεν υπάρχει τέλος επιτυχίας για αυτό το προϊόν.</w:t>
            </w:r>
          </w:p>
        </w:tc>
        <w:tc>
          <w:tcPr>
            <w:tcW w:w="1680" w:type="dxa"/>
            <w:vAlign w:val="bottom"/>
            <w:tcBorders>
              <w:bottom w:val="single" w:sz="8" w:color="auto"/>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0" w:type="dxa"/>
            <w:vAlign w:val="bottom"/>
          </w:tcPr>
          <w:p>
            <w:pPr>
              <w:spacing w:after="0"/>
              <w:rPr>
                <w:sz w:val="1"/>
                <w:szCs w:val="1"/>
                <w:color w:val="auto"/>
              </w:rPr>
            </w:pPr>
          </w:p>
        </w:tc>
      </w:tr>
    </w:tbl>
    <w:p>
      <w:pPr>
        <w:spacing w:after="0" w:line="33"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Πόσο καιρό θα πρέπει να κρατήσω την εγκατάσταση και μπορώ να αποσύρω χρήματα νωρίς;</w:t>
      </w:r>
      <w:r>
        <w:rPr xmlns:w="http://schemas.openxmlformats.org/wordprocessingml/2006/main">
          <w:rFonts w:ascii="Arial" w:cs="Arial" w:eastAsia="Arial" w:hAnsi="Arial"/>
          <w:sz w:val="18"/>
          <w:szCs w:val="18"/>
          <w:b w:val="1"/>
          <w:bCs w:val="1"/>
          <w:color w:val="auto"/>
          <w:shd w:val="clear" w:color="auto" w:fill="72CA33"/>
        </w:rPr>
        <w:t xml:space="preserve"> Συνιστώμενος χρόνος αναμονής:</w:t>
      </w:r>
      <w:r>
        <w:rPr xmlns:w="http://schemas.openxmlformats.org/wordprocessingml/2006/main">
          <w:rFonts w:ascii="Arial" w:cs="Arial" w:eastAsia="Arial" w:hAnsi="Arial"/>
          <w:sz w:val="18"/>
          <w:szCs w:val="18"/>
          <w:b w:val="1"/>
          <w:bCs w:val="1"/>
          <w:color w:val="auto"/>
          <w:shd w:val="clear" w:color="auto" w:fill="72CA33"/>
        </w:rPr>
        <w:t xml:space="preserve"> 5 χρόνια</w:t>
      </w:r>
    </w:p>
    <w:p>
      <w:pPr>
        <w:spacing w:after="0" w:line="32" w:lineRule="exact"/>
        <w:rPr>
          <w:sz w:val="20"/>
          <w:szCs w:val="20"/>
          <w:color w:val="auto"/>
        </w:rPr>
      </w:pPr>
    </w:p>
    <w:p>
      <w:pPr xmlns:w="http://schemas.openxmlformats.org/wordprocessingml/2006/main">
        <w:jc w:val="both"/>
        <w:ind w:left="40" w:right="6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Η συνιστώμενη περίοδος εκμετάλλευσης υπολογίστηκε με βάση την επενδυτική στρατηγική του Ταμείου και το χρονοδιάγραμμα εντός του οποίου αναμένεται ότι ο επενδυτικός στόχος του Ταμείου μπορεί να επιτευχθεί.</w:t>
      </w:r>
      <w:r>
        <w:rPr xmlns:w="http://schemas.openxmlformats.org/wordprocessingml/2006/main">
          <w:rFonts w:ascii="Arial" w:cs="Arial" w:eastAsia="Arial" w:hAnsi="Arial"/>
          <w:sz w:val="16"/>
          <w:szCs w:val="16"/>
          <w:color w:val="auto"/>
        </w:rPr>
        <w:t xml:space="preserve"> Οποιαδήποτε επένδυση θα πρέπει να εξετάζεται με βάση τις συγκεκριμένες επενδυτικές ανάγκες και την όρεξή σας για ανάληψη κινδύνου.</w:t>
      </w:r>
      <w:r>
        <w:rPr xmlns:w="http://schemas.openxmlformats.org/wordprocessingml/2006/main">
          <w:rFonts w:ascii="Arial" w:cs="Arial" w:eastAsia="Arial" w:hAnsi="Arial"/>
          <w:sz w:val="16"/>
          <w:szCs w:val="16"/>
          <w:color w:val="auto"/>
        </w:rPr>
        <w:t xml:space="preserve"> Η BlackRock δεν έχει ελέγξει αν αυτή η εγκατάσταση είναι κατάλληλη ή κατάλληλη για την προσωπική σας κατάσταση.</w:t>
      </w:r>
      <w:r>
        <w:rPr xmlns:w="http://schemas.openxmlformats.org/wordprocessingml/2006/main">
          <w:rFonts w:ascii="Arial" w:cs="Arial" w:eastAsia="Arial" w:hAnsi="Arial"/>
          <w:sz w:val="16"/>
          <w:szCs w:val="16"/>
          <w:color w:val="auto"/>
        </w:rPr>
        <w:t xml:space="preserve"> Αν δεν είστε βέβαιοι αν το ταμείο θα καλύψει τις ανάγκες σας, θα πρέπει να ζητήσετε την κατάλληλη επαγγελματική συμβουλή.</w:t>
      </w:r>
      <w:r>
        <w:rPr xmlns:w="http://schemas.openxmlformats.org/wordprocessingml/2006/main">
          <w:rFonts w:ascii="Arial" w:cs="Arial" w:eastAsia="Arial" w:hAnsi="Arial"/>
          <w:sz w:val="16"/>
          <w:szCs w:val="16"/>
          <w:color w:val="auto"/>
        </w:rPr>
        <w:t xml:space="preserve"> Για πληροφορίες σχετικά με τη συχνότητα των συναλλαγών, δείτε "Τι είδους προϊόν περιλαμβάνεται;".</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Η επιστροφή σας μπορεί να είναι μικρότερη από την αναμενόμενη αν κάνετε ανάληψη χρημάτων πριν λήξει η συνιστώμενη περίοδος αναμονής.</w:t>
      </w:r>
      <w:r>
        <w:rPr xmlns:w="http://schemas.openxmlformats.org/wordprocessingml/2006/main">
          <w:rFonts w:ascii="Arial" w:cs="Arial" w:eastAsia="Arial" w:hAnsi="Arial"/>
          <w:sz w:val="16"/>
          <w:szCs w:val="16"/>
          <w:color w:val="auto"/>
        </w:rPr>
        <w:t xml:space="preserve"> Η συνιστώμενη περίοδος διακράτησης είναι μια εκτίμηση και δεν αποτελεί εγγύηση ή δείκτη μελλοντικών επιδόσεων, απόδοσης ή κινδύνου.</w:t>
      </w:r>
      <w:r>
        <w:rPr xmlns:w="http://schemas.openxmlformats.org/wordprocessingml/2006/main">
          <w:rFonts w:ascii="Arial" w:cs="Arial" w:eastAsia="Arial" w:hAnsi="Arial"/>
          <w:sz w:val="16"/>
          <w:szCs w:val="16"/>
          <w:color w:val="auto"/>
        </w:rPr>
        <w:t xml:space="preserve"> Μπορείτε να βρείτε τα τέλη εξόδου στην ενότητα "Τι έξοδα προκύπτουν?".</w:t>
      </w: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Πώς μπορώ να παραπονεθώ;</w:t>
      </w:r>
    </w:p>
    <w:p>
      <w:pPr>
        <w:spacing w:after="0" w:line="29" w:lineRule="exact"/>
        <w:rPr>
          <w:sz w:val="20"/>
          <w:szCs w:val="20"/>
          <w:color w:val="auto"/>
        </w:rPr>
      </w:pPr>
    </w:p>
    <w:p>
      <w:pPr xmlns:w="http://schemas.openxmlformats.org/wordprocessingml/2006/main">
        <w:jc w:val="both"/>
        <w:ind w:left="40" w:right="20"/>
        <w:spacing w:after="0" w:line="242" w:lineRule="auto"/>
        <w:rPr>
          <w:sz w:val="20"/>
          <w:szCs w:val="20"/>
          <w:color w:val="auto"/>
        </w:rPr>
      </w:pPr>
      <w:r>
        <w:rPr xmlns:w="http://schemas.openxmlformats.org/wordprocessingml/2006/main">
          <w:rFonts w:ascii="Arial" w:cs="Arial" w:eastAsia="Arial" w:hAnsi="Arial"/>
          <w:sz w:val="16"/>
          <w:szCs w:val="16"/>
          <w:color w:val="auto"/>
        </w:rPr>
        <w:t xml:space="preserve">Αν δεν είστε ικανοποιημένοι με ορισμένες από τις υπηρεσίες που παρέχουμε και επιθυμείτε να υποβάλετε παράπονα, παρακαλούμε ανατρέξτε στη Διαδικασία Διαχείρισης Παραπόνων μας στη διεύθυνση www.blackrock.com/uk/individual/about-blackrock/contact-us.</w:t>
      </w:r>
      <w:r>
        <w:rPr xmlns:w="http://schemas.openxmlformats.org/wordprocessingml/2006/main">
          <w:rFonts w:ascii="Arial" w:cs="Arial" w:eastAsia="Arial" w:hAnsi="Arial"/>
          <w:sz w:val="16"/>
          <w:szCs w:val="16"/>
          <w:color w:val="auto"/>
        </w:rPr>
        <w:t xml:space="preserve"> Μπορείτε επίσης να γράψετε στην ομάδα Investor Services στην έδρα του Ηνωμένου Βασιλείου BlackRock, 12 Throgmorton Avenue, London, EC2N 2DL ή email enquiry@ukclientservices.blackrock.com.</w:t>
      </w:r>
    </w:p>
    <w:p>
      <w:pPr>
        <w:spacing w:after="0" w:line="1"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Άλλες σχετικές πληροφορίες</w:t>
      </w:r>
    </w:p>
    <w:p>
      <w:pPr>
        <w:spacing w:after="0" w:line="29" w:lineRule="exact"/>
        <w:rPr>
          <w:sz w:val="20"/>
          <w:szCs w:val="20"/>
          <w:color w:val="auto"/>
        </w:rPr>
      </w:pPr>
    </w:p>
    <w:p>
      <w:pPr xmlns:w="http://schemas.openxmlformats.org/wordprocessingml/2006/main">
        <w:jc w:val="both"/>
        <w:ind w:left="40" w:right="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Η τρέχουσα έκδοση του παρόντος εγγράφου, η απόδοση του Ταμείου τα τελευταία 7 χρόνια, το προηγούμενο σενάριο επιδόσεων του Ταμείου, η τρέχουσα ετήσια και εξαμηνιαία έκθεση, και όλες οι άλλες πληροφορίες για τους μετόχους διατίθενται δωρεάν στα αγγλικά στη διεύθυνση www.blackrock.com ή τηλεφωνικά στην Ομάδα Επενδυτικών Υπηρεσιών στο +353 1 612 3394 ή στον αντιπρόσωπό σας, οικονομικό σύμβουλο ή γραφείο πωλήσεων.</w:t>
      </w:r>
    </w:p>
    <w:p>
      <w:pPr>
        <w:spacing w:after="0" w:line="1" w:lineRule="exact"/>
        <w:rPr>
          <w:sz w:val="20"/>
          <w:szCs w:val="20"/>
          <w:color w:val="auto"/>
        </w:rPr>
      </w:pPr>
    </w:p>
    <w:p>
      <w:pPr xmlns:w="http://schemas.openxmlformats.org/wordprocessingml/2006/main">
        <w:jc w:val="both"/>
        <w:ind w:left="40" w:right="60"/>
        <w:spacing w:after="0" w:line="305" w:lineRule="auto"/>
        <w:rPr>
          <w:sz w:val="20"/>
          <w:szCs w:val="20"/>
          <w:color w:val="auto"/>
        </w:rPr>
      </w:pPr>
      <w:r>
        <w:rPr xmlns:w="http://schemas.openxmlformats.org/wordprocessingml/2006/main">
          <w:rFonts w:ascii="Arial" w:cs="Arial" w:eastAsia="Arial" w:hAnsi="Arial"/>
          <w:sz w:val="16"/>
          <w:szCs w:val="16"/>
          <w:color w:val="auto"/>
        </w:rPr>
        <w:t xml:space="preserve">Οι δείκτες αναφοράς που αναφέρονται στο παρόν είναι η πνευματική ιδιοκτησία του (των) παρόχου(-ων) του δείκτη.</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Το προϊόν δεν υποστηρίζεται ή υποστηρίζεται από την υπηρεσία παροχής ευρετηρίου.</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Για πλήρη αποποίηση ευθυνών, ανατρέξτε στο έντυπο του προϊόντος ή/και επισκεφθείτε τη διεύθυνση www.blackrock.com.</w:t>
      </w:r>
    </w:p>
    <w:p>
      <w:pPr>
        <w:spacing w:after="0" w:line="106" w:lineRule="exact"/>
        <w:rPr>
          <w:sz w:val="20"/>
          <w:szCs w:val="20"/>
          <w:color w:val="auto"/>
        </w:rPr>
      </w:pPr>
    </w:p>
    <w:p>
      <w:pPr xmlns:w="http://schemas.openxmlformats.org/wordprocessingml/2006/main">
        <w:jc w:val="both"/>
        <w:ind w:left="40" w:right="6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σχετικές ρυθμίσεις διακυβέρνησης, είναι διαθέσιμες στη διεύθυνση www.blackrock.com/Remunerationpolicy ή, κατόπιν αιτήματος, στην καταστατική έδρα της εταιρείας διαχείρισης.</w:t>
      </w:r>
    </w:p>
    <w:p>
      <w:pPr>
        <w:sectPr>
          <w:pgSz w:w="11900" w:h="16838" w:orient="portrait"/>
          <w:cols w:equalWidth="0" w:num="1">
            <w:col w:w="10820"/>
          </w:cols>
          <w:pgMar w:left="540" w:top="561" w:right="539" w:bottom="656"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820"/>
      </w:cols>
      <w:pgMar w:left="540" w:top="561" w:right="539" w:bottom="656"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7AED017"/>
    <w:multiLevelType w:val="hybridMultilevel"/>
    <w:lvl w:ilvl="0">
      <w:lvlJc w:val="left"/>
      <w:lvlText w:val="*"/>
      <w:numFmt w:val="bullet"/>
      <w:start w:val="1"/>
    </w:lvl>
    <w:lvl w:ilvl="1">
      <w:lvlJc w:val="left"/>
      <w:lvlText w:val="**"/>
      <w:numFmt w:val="bullet"/>
      <w:start w:val="1"/>
    </w:lvl>
  </w:abstractNum>
  <w:abstractNum w:abstractNumId="1">
    <w:nsid w:val="5A5B1DD1"/>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jpeg"/><Relationship Id="rId34" Type="http://schemas.openxmlformats.org/officeDocument/2006/relationships/image" Target="media/image23.jpeg"/><Relationship Id="rId35" Type="http://schemas.openxmlformats.org/officeDocument/2006/relationships/image" Target="media/image24.jpeg"/><Relationship Id="rId36" Type="http://schemas.openxmlformats.org/officeDocument/2006/relationships/image" Target="media/image2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2024-05-20T14:45:07Z</dcterms:created>
  <dcterms:modified xsi:type="dcterms:W3CDTF">2024-05-20T14:45:07Z</dcterms:modified>
</cp:coreProperties>
</file>