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b w:val="1"/>
          <w:bCs w:val="1"/>
          <w:color w:val="263E33"/>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4364355</wp:posOffset>
            </wp:positionH>
            <wp:positionV relativeFrom="page">
              <wp:posOffset>344170</wp:posOffset>
            </wp:positionV>
            <wp:extent cx="2835275" cy="2520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835275" cy="252095"/>
                    </a:xfrm>
                    <a:prstGeom prst="rect">
                      <a:avLst/>
                    </a:prstGeom>
                    <a:noFill/>
                  </pic:spPr>
                </pic:pic>
              </a:graphicData>
            </a:graphic>
          </wp:anchor>
        </w:drawing>
      </w:r>
      <w:r>
        <w:rPr xmlns:w="http://schemas.openxmlformats.org/wordprocessingml/2006/main">
          <w:rFonts w:ascii="Arial" w:cs="Arial" w:eastAsia="Arial" w:hAnsi="Arial"/>
          <w:sz w:val="32"/>
          <w:szCs w:val="32"/>
          <w:b w:val="1"/>
          <w:bCs w:val="1"/>
          <w:color w:val="263E33"/>
        </w:rPr>
        <w:t xml:space="preserve">Έγγραφο βασικών πληροφοριών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5532120</wp:posOffset>
            </wp:positionH>
            <wp:positionV relativeFrom="paragraph">
              <wp:posOffset>-114300</wp:posOffset>
            </wp:positionV>
            <wp:extent cx="516890" cy="1136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516890" cy="113665"/>
                    </a:xfrm>
                    <a:prstGeom prst="rect">
                      <a:avLst/>
                    </a:prstGeom>
                    <a:noFill/>
                  </pic:spPr>
                </pic:pic>
              </a:graphicData>
            </a:graphic>
          </wp:anchor>
        </w:drawing>
      </w:r>
    </w:p>
    <w:p>
      <w:pPr>
        <w:spacing w:after="0" w:line="29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Αντικείμενο</w:t>
      </w:r>
    </w:p>
    <w:p>
      <w:pPr>
        <w:spacing w:after="0" w:line="72" w:lineRule="exact"/>
        <w:rPr>
          <w:sz w:val="24"/>
          <w:szCs w:val="24"/>
          <w:color w:val="auto"/>
        </w:rPr>
      </w:pPr>
    </w:p>
    <w:p>
      <w:pPr xmlns:w="http://schemas.openxmlformats.org/wordprocessingml/2006/main">
        <w:jc w:val="both"/>
        <w:spacing w:after="0" w:line="246" w:lineRule="auto"/>
        <w:rPr>
          <w:sz w:val="20"/>
          <w:szCs w:val="20"/>
          <w:color w:val="auto"/>
        </w:rPr>
      </w:pPr>
      <w:r>
        <w:rPr xmlns:w="http://schemas.openxmlformats.org/wordprocessingml/2006/main">
          <w:rFonts w:ascii="Arial" w:cs="Arial" w:eastAsia="Arial" w:hAnsi="Arial"/>
          <w:sz w:val="18"/>
          <w:szCs w:val="18"/>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8"/>
          <w:szCs w:val="18"/>
          <w:color w:val="auto"/>
        </w:rPr>
        <w:t xml:space="preserve"> Δεν είναι υλικό μάρκετινγκ.</w:t>
      </w:r>
      <w:r>
        <w:rPr xmlns:w="http://schemas.openxmlformats.org/wordprocessingml/2006/main">
          <w:rFonts w:ascii="Arial" w:cs="Arial" w:eastAsia="Arial" w:hAnsi="Arial"/>
          <w:sz w:val="18"/>
          <w:szCs w:val="18"/>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Arial" w:cs="Arial" w:eastAsia="Arial" w:hAnsi="Arial"/>
          <w:sz w:val="18"/>
          <w:szCs w:val="18"/>
          <w:color w:val="auto"/>
        </w:rPr>
        <w:t xml:space="preserve"> Οι όροι που δεν καθορίζονται στο παρόν είναι εκείνοι που ορίζονται στο ενημερωτικό δελτίο.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111760</wp:posOffset>
            </wp:positionV>
            <wp:extent cx="6840220" cy="4763"/>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32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7"/>
          <w:szCs w:val="27"/>
          <w:b w:val="1"/>
          <w:bCs w:val="1"/>
          <w:color w:val="263E33"/>
        </w:rPr>
        <w:t xml:space="preserve">SPDR S&amp;P 500 ETF ΟΣΕΚΑ χαμηλής μεταβλητότητας ("Fund")</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color w:val="263E33"/>
        </w:rPr>
        <w:t xml:space="preserve">ένα επιμέρους κεφάλαιο της SSGA </w:t>
      </w:r>
      <w:r>
        <w:rPr xmlns:w="http://schemas.openxmlformats.org/wordprocessingml/2006/main">
          <w:rFonts w:ascii="Arial" w:cs="Arial" w:eastAsia="Arial" w:hAnsi="Arial"/>
          <w:sz w:val="23"/>
          <w:szCs w:val="23"/>
          <w:b w:val="1"/>
          <w:bCs w:val="1"/>
          <w:color w:val="263E33"/>
        </w:rPr>
        <w:t xml:space="preserve">SPDR ETFs Europe I plc</w:t>
      </w:r>
    </w:p>
    <w:p>
      <w:pPr>
        <w:spacing w:after="0" w:line="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263E33"/>
        </w:rPr>
        <w:t xml:space="preserve">Κοινή χρήση κλάσης:</w:t>
      </w:r>
      <w:r>
        <w:rPr xmlns:w="http://schemas.openxmlformats.org/wordprocessingml/2006/main">
          <w:rFonts w:ascii="Arial" w:cs="Arial" w:eastAsia="Arial" w:hAnsi="Arial"/>
          <w:sz w:val="21"/>
          <w:szCs w:val="21"/>
          <w:b w:val="1"/>
          <w:bCs w:val="1"/>
          <w:color w:val="263E33"/>
        </w:rPr>
        <w:t xml:space="preserve"> SPDR S&amp;P 500 ETF ΟΣΕΚΑ χαμηλής μεταβλητότητας (Acc) (ISIN IE00B802KR88)</w:t>
      </w:r>
    </w:p>
    <w:p>
      <w:pPr>
        <w:spacing w:after="0" w:line="1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SPDR S&amp;P 500 ΟΣΕΚΑ χαμηλής μεταβλητότητας ETF έχει λάβει άδεια λειτουργίας στην Ιρλανδία και ρυθμίζεται από την Central Bank of Ireland.</w:t>
      </w:r>
    </w:p>
    <w:p>
      <w:pPr>
        <w:spacing w:after="0" w:line="116" w:lineRule="exact"/>
        <w:rPr>
          <w:sz w:val="24"/>
          <w:szCs w:val="24"/>
          <w:color w:val="auto"/>
        </w:rPr>
      </w:pPr>
    </w:p>
    <w:p>
      <w:pPr xmlns:w="http://schemas.openxmlformats.org/wordprocessingml/2006/main">
        <w:jc w:val="both"/>
        <w:spacing w:after="0" w:line="245"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Το Ταμείο αυτό τελεί υπό τη διαχείριση της State Street Global Advisors Europe Limited ("Fund Manager"), η οποία έχει λάβει άδεια λειτουργίας στην Ιρλανδία και εποπτεύεται από την Κεντρική Τράπεζα της Ιρλανδίας.</w:t>
      </w:r>
      <w:r>
        <w:rPr xmlns:w="http://schemas.openxmlformats.org/wordprocessingml/2006/main">
          <w:rFonts w:ascii="Arial" w:cs="Arial" w:eastAsia="Arial" w:hAnsi="Arial"/>
          <w:sz w:val="17"/>
          <w:szCs w:val="17"/>
          <w:color w:val="auto"/>
        </w:rPr>
        <w:t xml:space="preserve"> Για περισσότερες πληροφορίες σχετικά με αυτό το προϊόν, ανατρέξτε στη διεύθυνση </w:t>
      </w:r>
      <w:hyperlink w:anchor="page1">
        <w:r>
          <w:rPr xmlns:w="http://schemas.openxmlformats.org/wordprocessingml/2006/main">
            <w:rFonts w:ascii="Arial" w:cs="Arial" w:eastAsia="Arial" w:hAnsi="Arial"/>
            <w:sz w:val="17"/>
            <w:szCs w:val="17"/>
            <w:color w:val="auto"/>
          </w:rPr>
          <w:t xml:space="preserve">www.ssga.com</w:t>
        </w:r>
      </w:hyperlink>
    </w:p>
    <w:p>
      <w:pPr>
        <w:spacing w:after="0" w:line="10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63E33"/>
        </w:rPr>
        <w:t xml:space="preserve">Ακρίβεια από:</w:t>
      </w:r>
      <w:r>
        <w:rPr xmlns:w="http://schemas.openxmlformats.org/wordprocessingml/2006/main">
          <w:rFonts w:ascii="Arial" w:cs="Arial" w:eastAsia="Arial" w:hAnsi="Arial"/>
          <w:sz w:val="19"/>
          <w:szCs w:val="19"/>
          <w:b w:val="1"/>
          <w:bCs w:val="1"/>
          <w:color w:val="263E33"/>
        </w:rPr>
        <w:t xml:space="preserve"> 1η Ιανουαρίου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158750</wp:posOffset>
            </wp:positionV>
            <wp:extent cx="6840220" cy="4763"/>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ectPr>
          <w:pgSz w:w="11900" w:h="16838" w:orient="portrait"/>
          <w:cols w:equalWidth="0" w:num="1">
            <w:col w:w="10780"/>
          </w:cols>
          <w:pgMar w:left="560" w:top="564" w:right="566" w:bottom="0" w:gutter="0" w:footer="0" w:header="0"/>
        </w:sectPr>
      </w:pPr>
    </w:p>
    <w:p>
      <w:pPr>
        <w:spacing w:after="0" w:line="31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Τι είναι αυτό το προϊόν;</w:t>
      </w:r>
    </w:p>
    <w:p>
      <w:pPr>
        <w:spacing w:after="0" w:line="6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Τύπος</w:t>
      </w:r>
    </w:p>
    <w:p>
      <w:pPr>
        <w:spacing w:after="0" w:line="33" w:lineRule="exact"/>
        <w:rPr>
          <w:sz w:val="24"/>
          <w:szCs w:val="24"/>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6"/>
          <w:szCs w:val="16"/>
          <w:color w:val="auto"/>
        </w:rPr>
        <w:t xml:space="preserve">Το Ταμείο αυτό είναι επενδυτική εταιρεία ανοικτού τύπου με μεταβλητό κεφάλαιο, η οποία συστάθηκε στην Ιρλανδία στις 5 Ιανουαρίου 2011 με αριθμό μητρώου 493329 και έχει λάβει άδεια λειτουργίας από την Κεντρική Τράπεζα ως ΟΣΕΚΑ.</w:t>
      </w:r>
    </w:p>
    <w:p>
      <w:pPr>
        <w:spacing w:after="0" w:line="8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Διάρκεια</w:t>
      </w:r>
    </w:p>
    <w:p>
      <w:pPr>
        <w:spacing w:after="0" w:line="32"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Η Εταιρεία είναι ανώνυμη εταιρεία αορίστου χρόνου, η οποία έχει συσταθεί για απεριόριστο χρόνο.</w:t>
      </w:r>
      <w:r>
        <w:rPr xmlns:w="http://schemas.openxmlformats.org/wordprocessingml/2006/main">
          <w:rFonts w:ascii="Arial" w:cs="Arial" w:eastAsia="Arial" w:hAnsi="Arial"/>
          <w:sz w:val="17"/>
          <w:szCs w:val="17"/>
          <w:color w:val="auto"/>
        </w:rPr>
        <w:t xml:space="preserve"> Ωστόσο, μπορεί να διαλυθεί ανά πάσα στιγμή με απόφαση που έχει εγκριθεί σε γενική συνέλευση των μετόχων, η οποία έχει εγκριθεί σύμφωνα με τους ισχύοντες νόμους.</w:t>
      </w:r>
    </w:p>
    <w:p>
      <w:pPr>
        <w:spacing w:after="0" w:line="8"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Το Ταμείο αυτό δεν έχει ημερομηνία λήξης.</w:t>
      </w:r>
      <w:r>
        <w:rPr xmlns:w="http://schemas.openxmlformats.org/wordprocessingml/2006/main">
          <w:rFonts w:ascii="Arial" w:cs="Arial" w:eastAsia="Arial" w:hAnsi="Arial"/>
          <w:sz w:val="17"/>
          <w:szCs w:val="17"/>
          <w:color w:val="auto"/>
        </w:rPr>
        <w:t xml:space="preserve"> Ωστόσο, μπορεί να καταγγελθεί και να εκκαθαριστεί με απόφαση του Συμβουλίου Προστασίας Δεδομένων υπό ειδικούς όρους που καθορίζονται στο Ενημερωτικό Δελτίο.</w:t>
      </w:r>
    </w:p>
    <w:p>
      <w:pPr>
        <w:spacing w:after="0" w:line="10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Στόχοι</w:t>
      </w:r>
    </w:p>
    <w:p>
      <w:pPr>
        <w:spacing w:after="0" w:line="32"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Στόχος του Ταμείου είναι να παρακολουθήσει τις επιδόσεις των μεγάλων εταιρειών των ΗΠΑ στην αγορά ιδίων κεφαλαίων, οι οποίες ιστορικά έχουν εμφανίσει χαρακτηριστικά χαμηλής μεταβλητότητας.</w:t>
      </w:r>
    </w:p>
    <w:p>
      <w:pPr>
        <w:spacing w:after="0" w:line="81"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Το Ταμείο επιδιώκει να παρακολουθεί όσο το δυνατόν πιο στενά τις επιδόσεις του δείκτη χαμηλής μεταβλητότητας S&amp;P 500® (ο «δείκτης»).</w:t>
      </w:r>
    </w:p>
    <w:p>
      <w:pPr>
        <w:spacing w:after="0" w:line="84"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Το Ταμείο είναι ένα ταμείο εντοπισμού δεικτών (γνωστό επίσης ως ταμείο παθητικής διαχείρισης).</w:t>
      </w:r>
    </w:p>
    <w:p>
      <w:pPr>
        <w:spacing w:after="0" w:line="84"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Επενδυτική πολιτική</w:t>
      </w:r>
      <w:r>
        <w:rPr xmlns:w="http://schemas.openxmlformats.org/wordprocessingml/2006/main">
          <w:rFonts w:ascii="Arial" w:cs="Arial" w:eastAsia="Arial" w:hAnsi="Arial"/>
          <w:sz w:val="17"/>
          <w:szCs w:val="17"/>
          <w:color w:val="000000"/>
        </w:rPr>
        <w:t xml:space="preserve"> Το Ταμείο επενδύει κυρίως σε τίτλους που περιλαμβάνονται στον δείκτη.</w:t>
      </w:r>
      <w:r>
        <w:rPr xmlns:w="http://schemas.openxmlformats.org/wordprocessingml/2006/main">
          <w:rFonts w:ascii="Arial" w:cs="Arial" w:eastAsia="Arial" w:hAnsi="Arial"/>
          <w:sz w:val="17"/>
          <w:szCs w:val="17"/>
          <w:color w:val="000000"/>
        </w:rPr>
        <w:t xml:space="preserve"> Οι τίτλοι αυτοί περιλαμβάνουν αμερικανικές εταιρείες μεγάλης κεφαλαιαγοράς.</w:t>
      </w:r>
      <w:r>
        <w:rPr xmlns:w="http://schemas.openxmlformats.org/wordprocessingml/2006/main">
          <w:rFonts w:ascii="Arial" w:cs="Arial" w:eastAsia="Arial" w:hAnsi="Arial"/>
          <w:sz w:val="17"/>
          <w:szCs w:val="17"/>
          <w:color w:val="000000"/>
        </w:rPr>
        <w:t xml:space="preserve"> Ο δείκτης μετρά την απόδοση των 100 λιγότερο ευμετάβλητων αποθεμάτων στο πλαίσιο του δείκτη S&amp;P 500.</w:t>
      </w:r>
    </w:p>
    <w:p>
      <w:pPr>
        <w:spacing w:after="0" w:line="83"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6"/>
          <w:szCs w:val="16"/>
          <w:color w:val="auto"/>
        </w:rPr>
        <w:t xml:space="preserve">Παρά το γεγονός ότι ο δείκτης είναι γενικά αρκετά διαφοροποιημένος, ώστε να επιτρέπει στο Ταμείο να παρακολουθεί με ακρίβεια τον δείκτη, το Ταμείο θα χρησιμοποιεί τα αυξημένα όρια διαφοροποίησης που διατίθενται δυνάμει των κανονισμών για τους ΟΣΕΚΑ, τα οποία του επιτρέπουν να κατέχει θέσεις σε επιμέρους στοιχεία του δείκτη που εκδίδονται από τον ίδιο φορέα έως και 20% της καθαρής αξίας του ενεργητικού του Ταμείου.</w:t>
      </w:r>
    </w:p>
    <w:p>
      <w:pPr>
        <w:spacing w:after="0" w:line="68" w:lineRule="exact"/>
        <w:rPr>
          <w:sz w:val="24"/>
          <w:szCs w:val="24"/>
          <w:color w:val="auto"/>
        </w:rPr>
      </w:pPr>
    </w:p>
    <w:p>
      <w:pPr xmlns:w="http://schemas.openxmlformats.org/wordprocessingml/2006/main">
        <w:jc w:val="both"/>
        <w:spacing w:after="0" w:line="249" w:lineRule="auto"/>
        <w:rPr>
          <w:sz w:val="20"/>
          <w:szCs w:val="20"/>
          <w:color w:val="auto"/>
        </w:rPr>
      </w:pPr>
      <w:r>
        <w:rPr xmlns:w="http://schemas.openxmlformats.org/wordprocessingml/2006/main">
          <w:rFonts w:ascii="Arial" w:cs="Arial" w:eastAsia="Arial" w:hAnsi="Arial"/>
          <w:sz w:val="17"/>
          <w:szCs w:val="17"/>
          <w:color w:val="auto"/>
        </w:rPr>
        <w:t xml:space="preserve">Το Ταμείο επιδιώκει να διατηρήσει όλους τους τίτλους του δείκτη με τους κατά προσέγγιση συντελεστές στάθμισης όπως στον εν λόγω δείκτη.</w:t>
      </w:r>
      <w:r>
        <w:rPr xmlns:w="http://schemas.openxmlformats.org/wordprocessingml/2006/main">
          <w:rFonts w:ascii="Arial" w:cs="Arial" w:eastAsia="Arial" w:hAnsi="Arial"/>
          <w:sz w:val="17"/>
          <w:szCs w:val="17"/>
          <w:color w:val="auto"/>
        </w:rPr>
        <w:t xml:space="preserve"> Το Ταμείο θα χρησιμοποιήσει μια στρατηγική αναπαραγωγής για να δημιουργήσει μια σχεδόν κατοπτρική εικόνα του Δείκτη.</w:t>
      </w:r>
      <w:r>
        <w:rPr xmlns:w="http://schemas.openxmlformats.org/wordprocessingml/2006/main">
          <w:rFonts w:ascii="Arial" w:cs="Arial" w:eastAsia="Arial" w:hAnsi="Arial"/>
          <w:sz w:val="17"/>
          <w:szCs w:val="17"/>
          <w:color w:val="auto"/>
        </w:rPr>
        <w:t xml:space="preserve"> Σε περιορισμένες περιπτώσεις, το Ταμείο μπορεί να αγοράζει τίτλους που δεν περιλαμβάνονται στον δείκτη.</w:t>
      </w:r>
    </w:p>
    <w:p>
      <w:pPr>
        <w:spacing w:after="0" w:line="81"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Το Ταμείο μπορεί να χρησιμοποιεί χρηματοοικονομικά παράγωγα μέσα (δηλαδή, χρηματοοικονομικές συμβάσεις των οποίων οι τιμές εξαρτώνται από ένα ή περισσότερα υποκείμενα περιουσιακά στοιχεία) για την αποτελεσματική διαχείριση του χαρτοφυλακίου.</w:t>
      </w:r>
    </w:p>
    <w:p>
      <w:pPr>
        <w:spacing w:after="0" w:line="81" w:lineRule="exact"/>
        <w:rPr>
          <w:sz w:val="24"/>
          <w:szCs w:val="24"/>
          <w:color w:val="auto"/>
        </w:rPr>
      </w:pPr>
    </w:p>
    <w:p>
      <w:pPr xmlns:w="http://schemas.openxmlformats.org/wordprocessingml/2006/main">
        <w:jc w:val="both"/>
        <w:spacing w:after="0" w:line="310" w:lineRule="auto"/>
        <w:rPr>
          <w:sz w:val="20"/>
          <w:szCs w:val="20"/>
          <w:color w:val="auto"/>
        </w:rPr>
      </w:pPr>
      <w:r>
        <w:rPr xmlns:w="http://schemas.openxmlformats.org/wordprocessingml/2006/main">
          <w:rFonts w:ascii="Arial" w:cs="Arial" w:eastAsia="Arial" w:hAnsi="Arial"/>
          <w:sz w:val="15"/>
          <w:szCs w:val="15"/>
          <w:color w:val="auto"/>
        </w:rPr>
        <w:t xml:space="preserve">Εκτός από εξαιρετικές περιπτώσεις, το Ταμείο θα εκδίδει και θα εξοφλεί μετοχές μόνο σε ορισμένους θεσμικούς επενδυτές.</w:t>
      </w:r>
      <w:r>
        <w:rPr xmlns:w="http://schemas.openxmlformats.org/wordprocessingml/2006/main">
          <w:rFonts w:ascii="Arial" w:cs="Arial" w:eastAsia="Arial" w:hAnsi="Arial"/>
          <w:sz w:val="15"/>
          <w:szCs w:val="15"/>
          <w:color w:val="auto"/>
        </w:rPr>
        <w:t xml:space="preserve"> Ωστόσο, οι μετοχές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1323975</wp:posOffset>
            </wp:positionV>
            <wp:extent cx="6840220" cy="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00" w:lineRule="exact"/>
        <w:rPr>
          <w:sz w:val="24"/>
          <w:szCs w:val="24"/>
          <w:color w:val="auto"/>
        </w:rPr>
      </w:pPr>
    </w:p>
    <w:p>
      <w:pPr>
        <w:spacing w:after="0" w:line="229"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Τα κεφάλαια μπορούν να αγοράζονται ή να πωλούνται μέσω μεσιτών σε ένα ή περισσότερα χρηματιστήρια.</w:t>
      </w:r>
      <w:r>
        <w:rPr xmlns:w="http://schemas.openxmlformats.org/wordprocessingml/2006/main">
          <w:rFonts w:ascii="Arial" w:cs="Arial" w:eastAsia="Arial" w:hAnsi="Arial"/>
          <w:sz w:val="17"/>
          <w:szCs w:val="17"/>
          <w:color w:val="auto"/>
        </w:rPr>
        <w:t xml:space="preserve"> Το Ταμείο συναλλάσσεται στα χρηματιστήρια αυτά σε τιμές αγοράς, οι οποίες μπορεί να κυμαίνονται καθ' όλη τη διάρκεια της ημέρας.</w:t>
      </w:r>
      <w:r>
        <w:rPr xmlns:w="http://schemas.openxmlformats.org/wordprocessingml/2006/main">
          <w:rFonts w:ascii="Arial" w:cs="Arial" w:eastAsia="Arial" w:hAnsi="Arial"/>
          <w:sz w:val="17"/>
          <w:szCs w:val="17"/>
          <w:color w:val="auto"/>
        </w:rPr>
        <w:t xml:space="preserve"> Οι αγοραίες τιμές μπορεί να είναι μεγαλύτερες ή χαμηλότερες από την ημερήσια καθαρή αξία ενεργητικού του Ταμείου.</w:t>
      </w:r>
    </w:p>
    <w:p>
      <w:pPr>
        <w:spacing w:after="0" w:line="7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Επί του παρόντος, το Ταμείο δεν διενεργεί δανεισμό τίτλων.</w:t>
      </w:r>
    </w:p>
    <w:p>
      <w:pPr>
        <w:spacing w:after="0" w:line="87" w:lineRule="exact"/>
        <w:rPr>
          <w:sz w:val="24"/>
          <w:szCs w:val="24"/>
          <w:color w:val="auto"/>
        </w:rPr>
      </w:pPr>
    </w:p>
    <w:p>
      <w:pPr xmlns:w="http://schemas.openxmlformats.org/wordprocessingml/2006/main">
        <w:jc w:val="both"/>
        <w:spacing w:after="0" w:line="267"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Οι μέτοχοι μπορούν να εξοφλήσουν μετοχές σε οποιαδήποτε εργάσιμη ημέρα του Ηνωμένου Βασιλείου (εκτός από τις ημέρες κατά τις οποίες οι σχετικές χρηματοπιστωτικές αγορές είναι κλειστές για τις εργασίες ή/και την ημέρα που προηγείται οποιασδήποτε τέτοιας ημέρας, υπό την προϋπόθεση ότι ο κατάλογος των εν λόγω ημερών κλειστής αγοράς θα δημοσιευθεί για το Ταμείο στη διεύθυνση </w:t>
      </w:r>
      <w:hyperlink r:id="rId17">
        <w:r>
          <w:rPr xmlns:w="http://schemas.openxmlformats.org/wordprocessingml/2006/main">
            <w:rFonts w:ascii="Arial" w:cs="Arial" w:eastAsia="Arial" w:hAnsi="Arial"/>
            <w:sz w:val="16"/>
            <w:szCs w:val="16"/>
            <w:color w:val="auto"/>
          </w:rPr>
          <w:t xml:space="preserve">www.ssga.com)·</w:t>
        </w:r>
      </w:hyperlink>
      <w:hyperlink r:id="rId17">
        <w:r>
          <w:rPr xmlns:w="http://schemas.openxmlformats.org/wordprocessingml/2006/main">
            <w:rFonts w:ascii="Arial" w:cs="Arial" w:eastAsia="Arial" w:hAnsi="Arial"/>
            <w:sz w:val="16"/>
            <w:szCs w:val="16"/>
            <w:color w:val="auto"/>
          </w:rPr>
          <w:t xml:space="preserve"> </w:t>
        </w:r>
      </w:hyperlink>
      <w:r>
        <w:rPr xmlns:w="http://schemas.openxmlformats.org/wordprocessingml/2006/main">
          <w:rFonts w:ascii="Arial" w:cs="Arial" w:eastAsia="Arial" w:hAnsi="Arial"/>
          <w:sz w:val="16"/>
          <w:szCs w:val="16"/>
          <w:color w:val="auto"/>
        </w:rPr>
        <w:t xml:space="preserve">και οποιαδήποτε άλλη ημέρα κατά την κρίση των Διευθυντών (ενεργώντας λογικά) υπό την προϋπόθεση ότι οι Μέτοχοι ενημερώνονται εκ των προτέρων για τυχόν τέτοιες ημέρες.</w:t>
      </w:r>
    </w:p>
    <w:p>
      <w:pPr>
        <w:spacing w:after="0" w:line="70"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Τα τυχόν έσοδα του Ταμείου θα παρακρατούνται και θα αντανακλώνται σε αύξηση της αξίας των μετοχών.</w:t>
      </w:r>
    </w:p>
    <w:p>
      <w:pPr>
        <w:spacing w:after="0" w:line="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Οι μετοχές του Ταμείου εκδίδονται σε δολάρια ΗΠΑ.</w:t>
      </w:r>
    </w:p>
    <w:p>
      <w:pPr>
        <w:spacing w:after="0" w:line="87" w:lineRule="exact"/>
        <w:rPr>
          <w:sz w:val="24"/>
          <w:szCs w:val="24"/>
          <w:color w:val="auto"/>
        </w:rPr>
      </w:pPr>
    </w:p>
    <w:p>
      <w:pPr xmlns:w="http://schemas.openxmlformats.org/wordprocessingml/2006/main">
        <w:jc w:val="both"/>
        <w:spacing w:after="0" w:line="286" w:lineRule="auto"/>
        <w:rPr>
          <w:sz w:val="20"/>
          <w:szCs w:val="20"/>
          <w:color w:val="auto"/>
        </w:rPr>
      </w:pPr>
      <w:r>
        <w:rPr xmlns:w="http://schemas.openxmlformats.org/wordprocessingml/2006/main">
          <w:rFonts w:ascii="Arial" w:cs="Arial" w:eastAsia="Arial" w:hAnsi="Arial"/>
          <w:sz w:val="15"/>
          <w:szCs w:val="15"/>
          <w:color w:val="auto"/>
        </w:rPr>
        <w:t xml:space="preserve">Προέλευση ευρετηρίου:</w:t>
      </w:r>
      <w:r>
        <w:rPr xmlns:w="http://schemas.openxmlformats.org/wordprocessingml/2006/main">
          <w:rFonts w:ascii="Arial" w:cs="Arial" w:eastAsia="Arial" w:hAnsi="Arial"/>
          <w:sz w:val="15"/>
          <w:szCs w:val="15"/>
          <w:color w:val="auto"/>
        </w:rPr>
        <w:t xml:space="preserve"> Ο "S&amp;P 500® Low Variable Index" είναι προϊόν της S&amp;P Dow Jones Indeices LLC ("S&amp;P") και έχει λάβει άδεια χρήσης από την State Street Global Advisors.</w:t>
      </w:r>
      <w:r>
        <w:rPr xmlns:w="http://schemas.openxmlformats.org/wordprocessingml/2006/main">
          <w:rFonts w:ascii="Arial" w:cs="Arial" w:eastAsia="Arial" w:hAnsi="Arial"/>
          <w:sz w:val="15"/>
          <w:szCs w:val="15"/>
          <w:color w:val="auto"/>
        </w:rPr>
        <w:t xml:space="preserve"> Οι ονομασίες Standard &amp; Poor's® και S&amp;P® είναι σήματα κατατεθέντα της Standard &amp; Poor's Financial Services LLC, Dow Jones® είναι σήμα κατατεθέν της Dow Jones Trademark Holdings LLC.</w:t>
      </w:r>
      <w:r>
        <w:rPr xmlns:w="http://schemas.openxmlformats.org/wordprocessingml/2006/main">
          <w:rFonts w:ascii="Arial" w:cs="Arial" w:eastAsia="Arial" w:hAnsi="Arial"/>
          <w:sz w:val="15"/>
          <w:szCs w:val="15"/>
          <w:color w:val="auto"/>
        </w:rPr>
        <w:t xml:space="preserve"> Το SPDR S&amp;P 500 ΟΣΕΚΑ χαμηλής μεταβλητότητας της State Street Global Advisors δεν χρηματοδοτείται, δεν επικυρώνεται, πωλείται ή προωθείται από την S&amp;P, τις θυγατρικές εταιρείες της ή τους τρίτους δικαιοπαρόχους τους και κανένα από αυτά τα μέρη δεν προβαίνει σε καμία δήλωση σχετικά με τη σκοπιμότητα επένδυσης σε αυτά τα προϊόντα ούτε έχει καμία ευθύνη για τυχόν λάθη, παραλείψεις ή διακοπές του δείκτη.</w:t>
      </w:r>
    </w:p>
    <w:p>
      <w:pPr>
        <w:spacing w:after="0" w:line="8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Επιδιωκόμενος ιδιώτης επενδυτής</w:t>
      </w:r>
    </w:p>
    <w:p>
      <w:pPr>
        <w:spacing w:after="0" w:line="3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Αυτό το Ταμείο προορίζεται για επενδυτές που σκοπεύουν να παραμείνουν επενδυμένοι για τουλάχιστον 5 χρόνια και είναι διατεθειμένοι να αναλάβουν ένα μέσο υψηλό επίπεδο κινδύνου απώλειας του αρχικού κεφαλαίου τους, προκειμένου να αποκτήσουν υψηλότερη δυνητική απόδοση.</w:t>
      </w:r>
      <w:r>
        <w:rPr xmlns:w="http://schemas.openxmlformats.org/wordprocessingml/2006/main">
          <w:rFonts w:ascii="Arial" w:cs="Arial" w:eastAsia="Arial" w:hAnsi="Arial"/>
          <w:sz w:val="17"/>
          <w:szCs w:val="17"/>
          <w:color w:val="auto"/>
        </w:rPr>
        <w:t xml:space="preserve"> Έχει σχεδιαστεί ώστε να αποτελεί μέρος χαρτοφυλακίου επενδύσεων.</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Πρακτικές πληροφορίες</w:t>
      </w:r>
    </w:p>
    <w:p>
      <w:pPr>
        <w:spacing w:after="0" w:line="32"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Θεματοφύλακας</w:t>
      </w:r>
      <w:r>
        <w:rPr xmlns:w="http://schemas.openxmlformats.org/wordprocessingml/2006/main">
          <w:rFonts w:ascii="Arial" w:cs="Arial" w:eastAsia="Arial" w:hAnsi="Arial"/>
          <w:sz w:val="17"/>
          <w:szCs w:val="17"/>
          <w:color w:val="000000"/>
        </w:rPr>
        <w:t xml:space="preserve"> Ο θεματοφύλακας του Ταμείου είναι η State Street Custodial Services (Ireland) Limited.</w:t>
      </w:r>
    </w:p>
    <w:p>
      <w:pPr>
        <w:spacing w:after="0" w:line="84" w:lineRule="exact"/>
        <w:rPr>
          <w:sz w:val="24"/>
          <w:szCs w:val="24"/>
          <w:color w:val="auto"/>
        </w:rPr>
      </w:pPr>
    </w:p>
    <w:p>
      <w:pPr xmlns:w="http://schemas.openxmlformats.org/wordprocessingml/2006/main">
        <w:jc w:val="both"/>
        <w:spacing w:after="0" w:line="268" w:lineRule="auto"/>
        <w:rPr>
          <w:rFonts w:ascii="Arial" w:cs="Arial" w:eastAsia="Arial" w:hAnsi="Arial"/>
          <w:sz w:val="16"/>
          <w:szCs w:val="16"/>
          <w:color w:val="000000"/>
        </w:rPr>
      </w:pPr>
      <w:r>
        <w:rPr xmlns:w="http://schemas.openxmlformats.org/wordprocessingml/2006/main">
          <w:rFonts w:ascii="Arial" w:cs="Arial" w:eastAsia="Arial" w:hAnsi="Arial"/>
          <w:sz w:val="16"/>
          <w:szCs w:val="16"/>
          <w:b w:val="1"/>
          <w:bCs w:val="1"/>
          <w:color w:val="263E33"/>
        </w:rPr>
        <w:t xml:space="preserve">Περαιτέρω πληροφορίες</w:t>
      </w:r>
      <w:r>
        <w:rPr xmlns:w="http://schemas.openxmlformats.org/wordprocessingml/2006/main">
          <w:rFonts w:ascii="Arial" w:cs="Arial" w:eastAsia="Arial" w:hAnsi="Arial"/>
          <w:sz w:val="16"/>
          <w:szCs w:val="16"/>
          <w:color w:val="000000"/>
        </w:rPr>
        <w:t xml:space="preserve"> Αντίγραφο του ενημερωτικού δελτίου και της τελευταίας ετήσιας και εξαμηνιαίας οικονομικής έκθεσης στην αγγλική γλώσσα και της τελευταίας καθαρής αξίας του ενεργητικού ανά μετοχή διατίθενται δωρεάν, κατόπιν αιτήματος, από τη διεύθυνση </w:t>
      </w:r>
      <w:hyperlink r:id="rId17">
        <w:r>
          <w:rPr xmlns:w="http://schemas.openxmlformats.org/wordprocessingml/2006/main">
            <w:rFonts w:ascii="Arial" w:cs="Arial" w:eastAsia="Arial" w:hAnsi="Arial"/>
            <w:sz w:val="16"/>
            <w:szCs w:val="16"/>
            <w:color w:val="000000"/>
          </w:rPr>
          <w:t xml:space="preserve">www.ssga.com </w:t>
        </w:r>
      </w:hyperlink>
      <w:r>
        <w:rPr xmlns:w="http://schemas.openxmlformats.org/wordprocessingml/2006/main">
          <w:rFonts w:ascii="Arial" w:cs="Arial" w:eastAsia="Arial" w:hAnsi="Arial"/>
          <w:sz w:val="16"/>
          <w:szCs w:val="16"/>
          <w:color w:val="000000"/>
        </w:rPr>
        <w:t xml:space="preserve">ή με επιστολή προς τον διαχειριστή του ταμείου, State Street Global Advisors Europe Limited, 78 Sir John Rogerson's Quay, Dublin 2, Ireland.</w:t>
      </w:r>
    </w:p>
    <w:p>
      <w:pPr>
        <w:spacing w:after="0" w:line="780" w:lineRule="exact"/>
        <w:rPr>
          <w:sz w:val="24"/>
          <w:szCs w:val="24"/>
          <w:color w:val="auto"/>
        </w:rPr>
      </w:pPr>
    </w:p>
    <w:p>
      <w:pPr>
        <w:sectPr>
          <w:pgSz w:w="11900" w:h="16838" w:orient="portrait"/>
          <w:cols w:equalWidth="0" w:num="2">
            <w:col w:w="5160" w:space="460"/>
            <w:col w:w="5160"/>
          </w:cols>
          <w:pgMar w:left="560" w:top="564" w:right="5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1/3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p>
      <w:pPr>
        <w:sectPr>
          <w:pgSz w:w="11900" w:h="16838" w:orient="portrait"/>
          <w:cols w:equalWidth="0" w:num="1">
            <w:col w:w="10780"/>
          </w:cols>
          <w:pgMar w:left="560" w:top="564" w:right="56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SPDR S&amp;P 500 ETF ΟΣΕΚΑ χαμηλής μεταβλητότητας, ένα επιμέρους κεφάλαιο της SSGA SPDR ETFs Europe I plc - Acc Cumulation USD (IE00B802KR88)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27940</wp:posOffset>
            </wp:positionV>
            <wp:extent cx="6840220" cy="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21" w:right="566" w:bottom="0" w:gutter="0" w:footer="0" w:header="0"/>
        </w:sectPr>
      </w:pPr>
    </w:p>
    <w:p>
      <w:pPr>
        <w:spacing w:after="0" w:line="35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263E33"/>
        </w:rPr>
        <w:t xml:space="preserve">Ποιοι είναι οι κίνδυνοι και τι θα μπορούσα να πάρω ως αντάλλαγμα;</w:t>
      </w:r>
    </w:p>
    <w:p>
      <w:pPr>
        <w:spacing w:after="0" w:line="7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Κίνδυνοι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43180</wp:posOffset>
            </wp:positionV>
            <wp:extent cx="3312160" cy="890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extLst>
                    </a:blip>
                    <a:srcRect/>
                    <a:stretch>
                      <a:fillRect/>
                    </a:stretch>
                  </pic:blipFill>
                  <pic:spPr bwMode="auto">
                    <a:xfrm>
                      <a:off x="0" y="0"/>
                      <a:ext cx="3312160" cy="890270"/>
                    </a:xfrm>
                    <a:prstGeom prst="rect">
                      <a:avLst/>
                    </a:prstGeom>
                    <a:noFill/>
                  </pic:spPr>
                </pic:pic>
              </a:graphicData>
            </a:graphic>
          </wp:anchor>
        </w:drawing>
      </w:r>
    </w:p>
    <w:p>
      <w:pPr>
        <w:spacing w:after="0" w:line="166" w:lineRule="exact"/>
        <w:rPr>
          <w:sz w:val="20"/>
          <w:szCs w:val="20"/>
          <w:color w:val="auto"/>
        </w:rPr>
      </w:pPr>
    </w:p>
    <w:tbl>
      <w:tblPr>
        <w:tblLayout w:type="fixed"/>
        <w:tblInd w:w="160" w:type="dxa"/>
        <w:tblCellMar>
          <w:top w:w="0" w:type="dxa"/>
          <w:left w:w="0" w:type="dxa"/>
          <w:bottom w:w="0" w:type="dxa"/>
          <w:right w:w="0" w:type="dxa"/>
        </w:tblCellMar>
      </w:tblPr>
      <w:tr>
        <w:trPr>
          <w:trHeight w:val="195"/>
        </w:trPr>
        <w:tc>
          <w:tcPr>
            <w:tcW w:w="880" w:type="dxa"/>
            <w:vAlign w:val="bottom"/>
          </w:tcPr>
          <w:p>
            <w:pPr xmlns:w="http://schemas.openxmlformats.org/wordprocessingml/2006/main">
              <w:jc w:val="right"/>
              <w:ind w:right="38"/>
              <w:spacing w:after="0"/>
              <w:rPr>
                <w:sz w:val="20"/>
                <w:szCs w:val="20"/>
                <w:color w:val="auto"/>
              </w:rPr>
            </w:pPr>
            <w:r>
              <w:rPr xmlns:w="http://schemas.openxmlformats.org/wordprocessingml/2006/main">
                <w:rFonts w:ascii="Arial" w:cs="Arial" w:eastAsia="Arial" w:hAnsi="Arial"/>
                <w:sz w:val="17"/>
                <w:szCs w:val="17"/>
                <w:b w:val="1"/>
                <w:bCs w:val="1"/>
                <w:color w:val="263E33"/>
                <w:w w:val="86"/>
              </w:rPr>
              <w:t xml:space="preserve">Μείωση κινδύνου</w:t>
            </w:r>
          </w:p>
        </w:tc>
        <w:tc>
          <w:tcPr>
            <w:tcW w:w="5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9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Υψηλότερος κίνδυνος</w:t>
            </w:r>
          </w:p>
        </w:tc>
      </w:tr>
      <w:tr>
        <w:trPr>
          <w:trHeight w:val="554"/>
        </w:trPr>
        <w:tc>
          <w:tcPr>
            <w:tcW w:w="880" w:type="dxa"/>
            <w:vAlign w:val="bottom"/>
          </w:tcPr>
          <w:p>
            <w:pPr xmlns:w="http://schemas.openxmlformats.org/wordprocessingml/2006/main">
              <w:jc w:val="right"/>
              <w:ind w:right="438"/>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w:t>
            </w:r>
          </w:p>
        </w:tc>
        <w:tc>
          <w:tcPr>
            <w:tcW w:w="520" w:type="dxa"/>
            <w:vAlign w:val="bottom"/>
          </w:tcPr>
          <w:p>
            <w:pPr xmlns:w="http://schemas.openxmlformats.org/wordprocessingml/2006/main">
              <w:jc w:val="right"/>
              <w:ind w:right="2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w:t>
            </w:r>
          </w:p>
        </w:tc>
        <w:tc>
          <w:tcPr>
            <w:tcW w:w="700" w:type="dxa"/>
            <w:vAlign w:val="bottom"/>
          </w:tcPr>
          <w:p>
            <w:pPr xmlns:w="http://schemas.openxmlformats.org/wordprocessingml/2006/main">
              <w:jc w:val="right"/>
              <w:ind w:righ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3</w:t>
            </w:r>
          </w:p>
        </w:tc>
        <w:tc>
          <w:tcPr>
            <w:tcW w:w="720" w:type="dxa"/>
            <w:vAlign w:val="bottom"/>
          </w:tcPr>
          <w:p>
            <w:pPr xmlns:w="http://schemas.openxmlformats.org/wordprocessingml/2006/main">
              <w:jc w:val="right"/>
              <w:ind w:right="2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4</w:t>
            </w:r>
          </w:p>
        </w:tc>
        <w:tc>
          <w:tcPr>
            <w:tcW w:w="700" w:type="dxa"/>
            <w:vAlign w:val="bottom"/>
          </w:tcPr>
          <w:p>
            <w:pPr xmlns:w="http://schemas.openxmlformats.org/wordprocessingml/2006/main">
              <w:jc w:val="right"/>
              <w:ind w:righ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5</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6</w:t>
            </w:r>
          </w:p>
        </w:tc>
        <w:tc>
          <w:tcPr>
            <w:tcW w:w="940" w:type="dxa"/>
            <w:vAlign w:val="bottom"/>
          </w:tcPr>
          <w:p>
            <w:pPr xmlns:w="http://schemas.openxmlformats.org/wordprocessingml/2006/main">
              <w:jc w:val="right"/>
              <w:ind w:right="198"/>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7</w:t>
            </w:r>
          </w:p>
        </w:tc>
      </w:tr>
    </w:tbl>
    <w:p>
      <w:pPr>
        <w:spacing w:after="0" w:line="183"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7"/>
          <w:szCs w:val="17"/>
          <w:color w:val="auto"/>
        </w:rPr>
        <w:t xml:space="preserve">Ο δείκτης κινδύνου υποθέτει ότι θα κρατήσει το προϊόν για 5 χρόνια.</w:t>
      </w:r>
    </w:p>
    <w:p>
      <w:pPr>
        <w:spacing w:after="0" w:line="387"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Η παραπάνω κατηγορία κινδύνου δείχνει πόσο πιθανό είναι το ταμείο να χάσει χρήματα λόγω των κινήσεων στις αγορές ή επειδή δεν είμαστε σε θέση να σας πληρώσουμε.</w:t>
      </w:r>
      <w:r>
        <w:rPr xmlns:w="http://schemas.openxmlformats.org/wordprocessingml/2006/main">
          <w:rFonts w:ascii="Arial" w:cs="Arial" w:eastAsia="Arial" w:hAnsi="Arial"/>
          <w:sz w:val="17"/>
          <w:szCs w:val="17"/>
          <w:color w:val="auto"/>
        </w:rPr>
        <w:t xml:space="preserve"> Η κατηγορία κινδύνου του Ταμείου δεν είναι εγγυημένη και ενδέχεται να αλλάξει στο μέλλον.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Έχουμε ταξινομήσει αυτό το προϊόν ως 4 από 7, το οποίο είναι μια κατηγορία μεσαίου κινδύνου.</w:t>
      </w:r>
    </w:p>
    <w:p>
      <w:pPr>
        <w:spacing w:after="0" w:line="84"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Αυτό βαθμολογεί τις πιθανές απώλειες από τις μελλοντικές επιδόσεις σε ένα μέσο επίπεδο, και οι κακές συνθήκες της αγοράς θα μπορούσε να επηρεάσει την ικανότητα της State Street Global Advisors Europe Limited να σας πληρώσει.</w:t>
      </w:r>
    </w:p>
    <w:p>
      <w:pPr>
        <w:spacing w:after="0" w:line="81"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7"/>
          <w:szCs w:val="17"/>
          <w:color w:val="auto"/>
        </w:rPr>
        <w:t xml:space="preserve"> Μπορείτε να λάβετε πληρωμές σε διαφορετικό νόμισμα, έτσι ώστε η απόδοση της επένδυσής σας θα επηρεαστεί από τη συναλλαγματική ισοτιμία μεταξύ των δύο νομισμάτων.</w:t>
      </w:r>
      <w:r>
        <w:rPr xmlns:w="http://schemas.openxmlformats.org/wordprocessingml/2006/main">
          <w:rFonts w:ascii="Arial" w:cs="Arial" w:eastAsia="Arial" w:hAnsi="Arial"/>
          <w:sz w:val="17"/>
          <w:szCs w:val="17"/>
          <w:color w:val="auto"/>
        </w:rPr>
        <w:t xml:space="preserve"> Ο κίνδυνος αυτός δεν λαμβάνεται υπόψη στον προαναφερόμενο δείκτη.</w:t>
      </w:r>
    </w:p>
    <w:p>
      <w:pPr>
        <w:spacing w:after="0" w:line="83" w:lineRule="exact"/>
        <w:rPr>
          <w:sz w:val="20"/>
          <w:szCs w:val="20"/>
          <w:color w:val="auto"/>
        </w:rPr>
      </w:pPr>
    </w:p>
    <w:p>
      <w:pPr xmlns:w="http://schemas.openxmlformats.org/wordprocessingml/2006/main">
        <w:jc w:val="both"/>
        <w:spacing w:after="0" w:line="248"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Εκτός από τους κινδύνους που περιλαμβάνονται στον δείκτη κινδύνου, άλλοι κίνδυνοι ενδέχεται να επηρεάσουν την απόδοση του ταμείου.</w:t>
      </w:r>
      <w:r>
        <w:rPr xmlns:w="http://schemas.openxmlformats.org/wordprocessingml/2006/main">
          <w:rFonts w:ascii="Arial" w:cs="Arial" w:eastAsia="Arial" w:hAnsi="Arial"/>
          <w:sz w:val="17"/>
          <w:szCs w:val="17"/>
          <w:color w:val="auto"/>
        </w:rPr>
        <w:t xml:space="preserve"> Συμβουλευθείτε το ενημερωτικό δελτίο του Ταμείου, το οποίο διατίθεται δωρεάν στη διεύθυνση </w:t>
      </w:r>
      <w:hyperlink r:id="rId17">
        <w:r>
          <w:rPr xmlns:w="http://schemas.openxmlformats.org/wordprocessingml/2006/main">
            <w:rFonts w:ascii="Arial" w:cs="Arial" w:eastAsia="Arial" w:hAnsi="Arial"/>
            <w:sz w:val="17"/>
            <w:szCs w:val="17"/>
            <w:color w:val="auto"/>
          </w:rPr>
          <w:t xml:space="preserve">www.ssga.com.</w:t>
        </w:r>
      </w:hyperlink>
    </w:p>
    <w:p>
      <w:pPr>
        <w:spacing w:after="0" w:line="145" w:lineRule="exact"/>
        <w:rPr>
          <w:sz w:val="20"/>
          <w:szCs w:val="20"/>
          <w:color w:val="auto"/>
        </w:rPr>
      </w:pPr>
    </w:p>
    <w:p>
      <w:pPr>
        <w:sectPr>
          <w:pgSz w:w="11900" w:h="16838" w:orient="portrait"/>
          <w:cols w:equalWidth="0" w:num="2">
            <w:col w:w="5220" w:space="340"/>
            <w:col w:w="5220"/>
          </w:cols>
          <w:pgMar w:left="560" w:top="521" w:right="56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Σενάρια επιδόσεων</w:t>
      </w:r>
    </w:p>
    <w:p>
      <w:pPr>
        <w:spacing w:after="0" w:line="33"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Τα στοιχεία που παρουσιάζονται περιλαμβάνουν όλες τις δαπάνες του Ταμείου, εκτός από τις δαπάνες που μπορεί να χρειαστεί να πληρώσετε στο σύμβουλό σας, το διανομέα ή άλλο μεσάζοντα.</w:t>
      </w:r>
      <w:r>
        <w:rPr xmlns:w="http://schemas.openxmlformats.org/wordprocessingml/2006/main">
          <w:rFonts w:ascii="Arial" w:cs="Arial" w:eastAsia="Arial" w:hAnsi="Arial"/>
          <w:sz w:val="17"/>
          <w:szCs w:val="17"/>
          <w:color w:val="auto"/>
        </w:rPr>
        <w:t xml:space="preserve"> Τα στοιχεία δεν λαμβάνουν υπόψη την προσωπική σας φορολογική κατάσταση, η οποία μπορεί επίσης να επηρεάσει τη δήλωσή σας.</w:t>
      </w:r>
    </w:p>
    <w:p>
      <w:pPr>
        <w:spacing w:after="0" w:line="84"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7"/>
          <w:szCs w:val="17"/>
          <w:b w:val="1"/>
          <w:bCs w:val="1"/>
          <w:color w:val="auto"/>
        </w:rPr>
        <w:t xml:space="preserve"> Η εξέλιξη της αγοράς στο μέλλον είναι αβέβαιη και δεν μπορεί να προβλεφθεί με ακρίβεια.</w:t>
      </w:r>
    </w:p>
    <w:p>
      <w:pPr>
        <w:spacing w:after="0" w:line="84"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b w:val="1"/>
          <w:bCs w:val="1"/>
          <w:color w:val="auto"/>
        </w:rPr>
        <w:t xml:space="preserve">Τα δυσμενή, μέτρια και ευνοϊκά σενάρια που παρουσιάζονται είναι απεικονίσεις που χρησιμοποιούν τη χειρότερη, μέση και βέλτιστη απόδοση του προϊόντος κατά τα τελευταία 10 χρόνια.</w:t>
      </w:r>
      <w:r>
        <w:rPr xmlns:w="http://schemas.openxmlformats.org/wordprocessingml/2006/main">
          <w:rFonts w:ascii="Arial" w:cs="Arial" w:eastAsia="Arial" w:hAnsi="Arial"/>
          <w:sz w:val="17"/>
          <w:szCs w:val="17"/>
          <w:b w:val="1"/>
          <w:bCs w:val="1"/>
          <w:color w:val="auto"/>
        </w:rPr>
        <w:t xml:space="preserve"> Οι αγορές θα μπορούσαν να αναπτυχθούν πολύ διαφορετικά στο μέλλον.</w:t>
      </w:r>
    </w:p>
    <w:p>
      <w:pPr>
        <w:spacing w:after="0" w:line="8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Το σενάριο άγχους δείχνει τι μπορεί να πάρετε πίσω σε ακραίες συνθήκες της αγοράς.</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Μη ευνοϊκό</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2021 και 2022.</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Μέτρια</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2014 και 2019.</w:t>
      </w:r>
    </w:p>
    <w:p>
      <w:pPr>
        <w:spacing w:after="0" w:line="8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Ευνοϊκή</w:t>
      </w:r>
      <w:r>
        <w:rPr xmlns:w="http://schemas.openxmlformats.org/wordprocessingml/2006/main">
          <w:rFonts w:ascii="Arial" w:cs="Arial" w:eastAsia="Arial" w:hAnsi="Arial"/>
          <w:sz w:val="17"/>
          <w:szCs w:val="17"/>
          <w:color w:val="auto"/>
        </w:rPr>
        <w:t xml:space="preserve">:</w:t>
      </w:r>
      <w:r>
        <w:rPr xmlns:w="http://schemas.openxmlformats.org/wordprocessingml/2006/main">
          <w:rFonts w:ascii="Arial" w:cs="Arial" w:eastAsia="Arial" w:hAnsi="Arial"/>
          <w:sz w:val="17"/>
          <w:szCs w:val="17"/>
          <w:color w:val="auto"/>
        </w:rPr>
        <w:t xml:space="preserve"> αυτό το είδος σεναρίου συνέβη για μια επένδυση μεταξύ 2012 και 2017.</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95885</wp:posOffset>
            </wp:positionV>
            <wp:extent cx="6840220" cy="2051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extLst>
                    </a:blip>
                    <a:srcRect/>
                    <a:stretch>
                      <a:fillRect/>
                    </a:stretch>
                  </pic:blipFill>
                  <pic:spPr bwMode="auto">
                    <a:xfrm>
                      <a:off x="0" y="0"/>
                      <a:ext cx="6840220" cy="205105"/>
                    </a:xfrm>
                    <a:prstGeom prst="rect">
                      <a:avLst/>
                    </a:prstGeom>
                    <a:noFill/>
                  </pic:spPr>
                </pic:pic>
              </a:graphicData>
            </a:graphic>
          </wp:anchor>
        </w:drawing>
      </w:r>
    </w:p>
    <w:p>
      <w:pPr>
        <w:spacing w:after="0" w:line="249" w:lineRule="exact"/>
        <w:rPr>
          <w:sz w:val="20"/>
          <w:szCs w:val="20"/>
          <w:color w:val="auto"/>
        </w:rPr>
      </w:pPr>
    </w:p>
    <w:tbl>
      <w:tblPr>
        <w:tblLayout w:type="fixed"/>
        <w:tblInd w:w="140" w:type="dxa"/>
        <w:tblCellMar>
          <w:top w:w="0" w:type="dxa"/>
          <w:left w:w="0" w:type="dxa"/>
          <w:bottom w:w="0" w:type="dxa"/>
          <w:right w:w="0" w:type="dxa"/>
        </w:tblCellMar>
      </w:tblPr>
      <w:tr>
        <w:trPr>
          <w:trHeight w:val="195"/>
        </w:trPr>
        <w:tc>
          <w:tcPr>
            <w:tcW w:w="58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Συνιστώμενη περίοδος διατήρησης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5 χρόνια</w:t>
            </w:r>
          </w:p>
        </w:tc>
        <w:tc>
          <w:tcPr>
            <w:tcW w:w="1500" w:type="dxa"/>
            <w:vAlign w:val="bottom"/>
          </w:tcPr>
          <w:p>
            <w:pPr>
              <w:spacing w:after="0"/>
              <w:rPr>
                <w:sz w:val="16"/>
                <w:szCs w:val="16"/>
                <w:color w:val="auto"/>
              </w:rPr>
            </w:pPr>
          </w:p>
        </w:tc>
      </w:tr>
      <w:tr>
        <w:trPr>
          <w:trHeight w:val="317"/>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w w:val="97"/>
              </w:rPr>
              <w:t xml:space="preserve">Παράδειγμα επένδυσης</w:t>
            </w:r>
          </w:p>
        </w:tc>
        <w:tc>
          <w:tcPr>
            <w:tcW w:w="4220" w:type="dxa"/>
            <w:vAlign w:val="bottom"/>
          </w:tcPr>
          <w:p>
            <w:pPr>
              <w:spacing w:after="0"/>
              <w:rPr>
                <w:sz w:val="24"/>
                <w:szCs w:val="24"/>
                <w:color w:val="auto"/>
              </w:rPr>
            </w:pP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10.000 USD</w:t>
            </w:r>
          </w:p>
        </w:tc>
        <w:tc>
          <w:tcPr>
            <w:tcW w:w="1500" w:type="dxa"/>
            <w:vAlign w:val="bottom"/>
          </w:tcPr>
          <w:p>
            <w:pPr>
              <w:spacing w:after="0"/>
              <w:rPr>
                <w:sz w:val="24"/>
                <w:szCs w:val="24"/>
                <w:color w:val="auto"/>
              </w:rPr>
            </w:pPr>
          </w:p>
        </w:tc>
      </w:tr>
      <w:tr>
        <w:trPr>
          <w:trHeight w:val="338"/>
        </w:trPr>
        <w:tc>
          <w:tcPr>
            <w:tcW w:w="1620" w:type="dxa"/>
            <w:vAlign w:val="bottom"/>
          </w:tcPr>
          <w:p>
            <w:pPr>
              <w:spacing w:after="0"/>
              <w:rPr>
                <w:sz w:val="24"/>
                <w:szCs w:val="24"/>
                <w:color w:val="auto"/>
              </w:rPr>
            </w:pPr>
          </w:p>
        </w:tc>
        <w:tc>
          <w:tcPr>
            <w:tcW w:w="4220" w:type="dxa"/>
            <w:vAlign w:val="bottom"/>
          </w:tcPr>
          <w:p>
            <w:pPr>
              <w:spacing w:after="0"/>
              <w:rPr>
                <w:sz w:val="24"/>
                <w:szCs w:val="24"/>
                <w:color w:val="auto"/>
              </w:rPr>
            </w:pPr>
          </w:p>
        </w:tc>
        <w:tc>
          <w:tcPr>
            <w:tcW w:w="3020" w:type="dxa"/>
            <w:vAlign w:val="bottom"/>
          </w:tcPr>
          <w:p>
            <w:pPr>
              <w:spacing w:after="0"/>
              <w:rPr>
                <w:sz w:val="24"/>
                <w:szCs w:val="24"/>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r>
      <w:tr>
        <w:trPr>
          <w:trHeight w:val="192"/>
        </w:trPr>
        <w:tc>
          <w:tcPr>
            <w:tcW w:w="1620" w:type="dxa"/>
            <w:vAlign w:val="bottom"/>
          </w:tcPr>
          <w:p>
            <w:pPr>
              <w:spacing w:after="0"/>
              <w:rPr>
                <w:sz w:val="16"/>
                <w:szCs w:val="16"/>
                <w:color w:val="auto"/>
              </w:rPr>
            </w:pPr>
          </w:p>
        </w:tc>
        <w:tc>
          <w:tcPr>
            <w:tcW w:w="4220" w:type="dxa"/>
            <w:vAlign w:val="bottom"/>
          </w:tcPr>
          <w:p>
            <w:pPr>
              <w:spacing w:after="0"/>
              <w:rPr>
                <w:sz w:val="16"/>
                <w:szCs w:val="16"/>
                <w:color w:val="auto"/>
              </w:rPr>
            </w:pPr>
          </w:p>
        </w:tc>
        <w:tc>
          <w:tcPr>
            <w:tcW w:w="302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0"/>
              </w:rPr>
              <w:t xml:space="preserve">5 χρόνια</w:t>
            </w:r>
          </w:p>
        </w:tc>
      </w:tr>
      <w:tr>
        <w:trPr>
          <w:trHeight w:val="193"/>
        </w:trPr>
        <w:tc>
          <w:tcPr>
            <w:tcW w:w="1620" w:type="dxa"/>
            <w:vAlign w:val="bottom"/>
          </w:tcPr>
          <w:p>
            <w:pPr>
              <w:spacing w:after="0"/>
              <w:rPr>
                <w:sz w:val="16"/>
                <w:szCs w:val="16"/>
                <w:color w:val="auto"/>
              </w:rPr>
            </w:pPr>
          </w:p>
        </w:tc>
        <w:tc>
          <w:tcPr>
            <w:tcW w:w="4220" w:type="dxa"/>
            <w:vAlign w:val="bottom"/>
          </w:tcPr>
          <w:p>
            <w:pPr>
              <w:spacing w:after="0"/>
              <w:rPr>
                <w:sz w:val="16"/>
                <w:szCs w:val="16"/>
                <w:color w:val="auto"/>
              </w:rPr>
            </w:pPr>
          </w:p>
        </w:tc>
        <w:tc>
          <w:tcPr>
            <w:tcW w:w="3020" w:type="dxa"/>
            <w:vAlign w:val="bottom"/>
          </w:tcPr>
          <w:p>
            <w:pPr xmlns:w="http://schemas.openxmlformats.org/wordprocessingml/2006/main">
              <w:ind w:left="170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αν πραγματοποιήσετε έξοδο μετά</w:t>
            </w:r>
          </w:p>
        </w:tc>
        <w:tc>
          <w:tcPr>
            <w:tcW w:w="1500" w:type="dxa"/>
            <w:vAlign w:val="bottom"/>
          </w:tcPr>
          <w:p>
            <w:pPr xmlns:w="http://schemas.openxmlformats.org/wordprocessingml/2006/main">
              <w:jc w:val="center"/>
              <w:ind w:left="320"/>
              <w:spacing w:after="0"/>
              <w:rPr>
                <w:sz w:val="20"/>
                <w:szCs w:val="20"/>
                <w:color w:val="auto"/>
              </w:rPr>
            </w:pPr>
            <w:r>
              <w:rPr xmlns:w="http://schemas.openxmlformats.org/wordprocessingml/2006/main">
                <w:rFonts w:ascii="Arial" w:cs="Arial" w:eastAsia="Arial" w:hAnsi="Arial"/>
                <w:sz w:val="16"/>
                <w:szCs w:val="16"/>
                <w:color w:val="263E33"/>
                <w:w w:val="92"/>
              </w:rPr>
              <w:t xml:space="preserve">(συνιστάται</w:t>
            </w:r>
          </w:p>
        </w:tc>
      </w:tr>
      <w:tr>
        <w:trPr>
          <w:trHeight w:val="192"/>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Σενάρια</w:t>
            </w:r>
          </w:p>
        </w:tc>
        <w:tc>
          <w:tcPr>
            <w:tcW w:w="4220" w:type="dxa"/>
            <w:vAlign w:val="bottom"/>
          </w:tcPr>
          <w:p>
            <w:pPr>
              <w:spacing w:after="0"/>
              <w:rPr>
                <w:sz w:val="16"/>
                <w:szCs w:val="16"/>
                <w:color w:val="auto"/>
              </w:rPr>
            </w:pPr>
          </w:p>
        </w:tc>
        <w:tc>
          <w:tcPr>
            <w:tcW w:w="3020" w:type="dxa"/>
            <w:vAlign w:val="bottom"/>
          </w:tcPr>
          <w:p>
            <w:pPr xmlns:w="http://schemas.openxmlformats.org/wordprocessingml/2006/main">
              <w:ind w:left="204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1 έτος</w:t>
            </w: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color w:val="263E33"/>
                <w:w w:val="96"/>
              </w:rPr>
              <w:t xml:space="preserve">περίοδος διατήρησης)</w:t>
            </w:r>
          </w:p>
        </w:tc>
      </w:tr>
      <w:tr>
        <w:trPr>
          <w:trHeight w:val="367"/>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Ελάχιστο</w:t>
            </w:r>
          </w:p>
        </w:tc>
        <w:tc>
          <w:tcPr>
            <w:tcW w:w="7240" w:type="dxa"/>
            <w:vAlign w:val="bottom"/>
            <w:gridSpan w:val="2"/>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Δεν υπάρχει ελάχιστη εγγυημένη απόδοση.</w:t>
            </w:r>
            <w:r>
              <w:rPr xmlns:w="http://schemas.openxmlformats.org/wordprocessingml/2006/main">
                <w:rFonts w:ascii="Arial" w:cs="Arial" w:eastAsia="Arial" w:hAnsi="Arial"/>
                <w:sz w:val="16"/>
                <w:szCs w:val="16"/>
                <w:b w:val="1"/>
                <w:bCs w:val="1"/>
                <w:color w:val="auto"/>
              </w:rPr>
              <w:t xml:space="preserve"> Θα μπορούσες να χάσεις κάποια ή όλα τα λεφτά σου.</w:t>
            </w:r>
          </w:p>
        </w:tc>
        <w:tc>
          <w:tcPr>
            <w:tcW w:w="1500" w:type="dxa"/>
            <w:vAlign w:val="bottom"/>
          </w:tcPr>
          <w:p>
            <w:pPr>
              <w:spacing w:after="0"/>
              <w:rPr>
                <w:sz w:val="24"/>
                <w:szCs w:val="24"/>
                <w:color w:val="auto"/>
              </w:rPr>
            </w:pPr>
          </w:p>
        </w:tc>
      </w:tr>
      <w:tr>
        <w:trPr>
          <w:trHeight w:val="365"/>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760 ΔΟΛΑΡΙΑ ΗΠΑ</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950 ΔΟΛΑΡΙΑ ΗΠΑ</w:t>
            </w:r>
          </w:p>
        </w:tc>
      </w:tr>
      <w:tr>
        <w:trPr>
          <w:trHeight w:val="190"/>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-92,4%</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-37,6%</w:t>
            </w:r>
          </w:p>
        </w:tc>
      </w:tr>
      <w:tr>
        <w:trPr>
          <w:trHeight w:val="350"/>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9.070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10.380 USD</w:t>
            </w:r>
          </w:p>
        </w:tc>
      </w:tr>
      <w:tr>
        <w:trPr>
          <w:trHeight w:val="193"/>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-9,3%</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0,7%</w:t>
            </w:r>
          </w:p>
        </w:tc>
      </w:tr>
      <w:tr>
        <w:trPr>
          <w:trHeight w:val="350"/>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Μέτρια</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11.230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16.590 USD</w:t>
            </w:r>
          </w:p>
        </w:tc>
      </w:tr>
      <w:tr>
        <w:trPr>
          <w:trHeight w:val="194"/>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12,3%</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10,7%</w:t>
            </w:r>
          </w:p>
        </w:tc>
      </w:tr>
      <w:tr>
        <w:trPr>
          <w:trHeight w:val="349"/>
        </w:trPr>
        <w:tc>
          <w:tcPr>
            <w:tcW w:w="16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Ευνοϊκή</w:t>
            </w: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12.720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18.970 USD</w:t>
            </w:r>
          </w:p>
        </w:tc>
      </w:tr>
      <w:tr>
        <w:trPr>
          <w:trHeight w:val="192"/>
        </w:trPr>
        <w:tc>
          <w:tcPr>
            <w:tcW w:w="1620" w:type="dxa"/>
            <w:vAlign w:val="bottom"/>
          </w:tcPr>
          <w:p>
            <w:pPr>
              <w:spacing w:after="0"/>
              <w:rPr>
                <w:sz w:val="16"/>
                <w:szCs w:val="16"/>
                <w:color w:val="auto"/>
              </w:rPr>
            </w:pPr>
          </w:p>
        </w:tc>
        <w:tc>
          <w:tcPr>
            <w:tcW w:w="4220" w:type="dxa"/>
            <w:vAlign w:val="bottom"/>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3020" w:type="dxa"/>
            <w:vAlign w:val="bottom"/>
          </w:tcPr>
          <w:p>
            <w:pPr xmlns:w="http://schemas.openxmlformats.org/wordprocessingml/2006/main">
              <w:ind w:left="1540"/>
              <w:spacing w:after="0"/>
              <w:rPr>
                <w:sz w:val="20"/>
                <w:szCs w:val="20"/>
                <w:color w:val="auto"/>
              </w:rPr>
            </w:pPr>
            <w:r>
              <w:rPr xmlns:w="http://schemas.openxmlformats.org/wordprocessingml/2006/main">
                <w:rFonts w:ascii="Arial" w:cs="Arial" w:eastAsia="Arial" w:hAnsi="Arial"/>
                <w:sz w:val="16"/>
                <w:szCs w:val="16"/>
                <w:color w:val="auto"/>
              </w:rPr>
              <w:t xml:space="preserve">27,2%</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13,7%</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-2395220</wp:posOffset>
            </wp:positionV>
            <wp:extent cx="6840220" cy="24415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extLst>
                    </a:blip>
                    <a:srcRect/>
                    <a:stretch>
                      <a:fillRect/>
                    </a:stretch>
                  </pic:blipFill>
                  <pic:spPr bwMode="auto">
                    <a:xfrm>
                      <a:off x="0" y="0"/>
                      <a:ext cx="6840220" cy="2441575"/>
                    </a:xfrm>
                    <a:prstGeom prst="rect">
                      <a:avLst/>
                    </a:prstGeom>
                    <a:noFill/>
                  </pic:spPr>
                </pic:pic>
              </a:graphicData>
            </a:graphic>
          </wp:anchor>
        </w:drawing>
      </w:r>
    </w:p>
    <w:p>
      <w:pPr>
        <w:spacing w:after="0" w:line="3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Τι συμβαίνει αν ο διαχειριστής του ταμείου δεν είναι σε θέση να πληρώσει;</w:t>
      </w:r>
    </w:p>
    <w:p>
      <w:pPr>
        <w:spacing w:after="0" w:line="148"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 Διευθυντής είναι υπεύθυνος για τη διοίκηση και τη διαχείριση της Εταιρείας και δεν κατέχει συνήθως περιουσιακά στοιχεία της Εταιρείας (τα περιουσιακά στοιχεία που μπορεί να κατέχει ένας θεματοφύλακας είναι, σύμφωνα με τους ισχύοντες κανονισμούς, κατέχονται από έναν θεματοφύλακα στο δίκτυο θεματοφυλακής του).</w:t>
      </w:r>
      <w:r>
        <w:rPr xmlns:w="http://schemas.openxmlformats.org/wordprocessingml/2006/main">
          <w:rFonts w:ascii="Arial" w:cs="Arial" w:eastAsia="Arial" w:hAnsi="Arial"/>
          <w:sz w:val="17"/>
          <w:szCs w:val="17"/>
          <w:color w:val="auto"/>
        </w:rPr>
        <w:t xml:space="preserve"> </w:t>
      </w:r>
      <w:r>
        <w:rPr xmlns:w="http://schemas.openxmlformats.org/wordprocessingml/2006/main">
          <w:rFonts w:ascii="Arial" w:cs="Arial" w:eastAsia="Arial" w:hAnsi="Arial"/>
          <w:sz w:val="17"/>
          <w:szCs w:val="17"/>
          <w:color w:val="auto"/>
        </w:rPr>
        <w:t xml:space="preserve">Ο Διευθυντής, καθώς ο κατασκευαστής αυτού του προϊόντος δεν έχει καμία υποχρέωση να πληρώσει, δεδομένου ότι ο σχεδιασμός του προϊόντος δεν προβλέπει καμία τέτοια πληρωμή.</w:t>
      </w:r>
      <w:r>
        <w:rPr xmlns:w="http://schemas.openxmlformats.org/wordprocessingml/2006/main">
          <w:rFonts w:ascii="Arial" w:cs="Arial" w:eastAsia="Arial" w:hAnsi="Arial"/>
          <w:sz w:val="17"/>
          <w:szCs w:val="17"/>
          <w:color w:val="auto"/>
        </w:rPr>
        <w:t xml:space="preserve"> Ωστόσο, οι επενδυτές μπορεί να υποστούν ζημία αν η Εταιρεία ή ο θεματοφύλακας δεν είναι σε θέση να πληρώσει.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154305</wp:posOffset>
            </wp:positionV>
            <wp:extent cx="6840220" cy="4763"/>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Ποιο είναι το κόστος;</w:t>
      </w:r>
    </w:p>
    <w:p>
      <w:pPr>
        <w:spacing w:after="0" w:line="121"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Arial" w:cs="Arial" w:eastAsia="Arial" w:hAnsi="Arial"/>
          <w:sz w:val="17"/>
          <w:szCs w:val="17"/>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0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Διαχρονικά κόστη</w:t>
      </w:r>
    </w:p>
    <w:p>
      <w:pPr>
        <w:spacing w:after="0" w:line="15"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7"/>
          <w:szCs w:val="17"/>
          <w:color w:val="auto"/>
        </w:rPr>
        <w:t xml:space="preserve"> Τα ποσά αυτά εξαρτώνται από το ποσό που επενδύετε και το διάστημα που διατηρείτε το Ταμείο.</w:t>
      </w:r>
      <w:r>
        <w:rPr xmlns:w="http://schemas.openxmlformats.org/wordprocessingml/2006/main">
          <w:rFonts w:ascii="Arial" w:cs="Arial" w:eastAsia="Arial" w:hAnsi="Arial"/>
          <w:sz w:val="17"/>
          <w:szCs w:val="17"/>
          <w:color w:val="auto"/>
        </w:rPr>
        <w:t xml:space="preserve"> Τα ποσά που παρουσιάζονται εδώ απεικονίζονται με βάση ένα συγκεκριμένο ποσό επένδυσης, λαμβάνοντας υπόψη τις διαφορετικές περιόδους διακράτησης.</w:t>
      </w:r>
    </w:p>
    <w:p>
      <w:pPr>
        <w:spacing w:after="0" w:line="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Υποθέσαμε ότι:</w:t>
      </w:r>
    </w:p>
    <w:p>
      <w:pPr>
        <w:spacing w:after="0" w:line="87" w:lineRule="exact"/>
        <w:rPr>
          <w:sz w:val="20"/>
          <w:szCs w:val="20"/>
          <w:color w:val="auto"/>
        </w:rPr>
      </w:pPr>
    </w:p>
    <w:p>
      <w:pPr xmlns:w="http://schemas.openxmlformats.org/wordprocessingml/2006/main">
        <w:ind w:left="240" w:hanging="233"/>
        <w:spacing w:after="0" w:line="245" w:lineRule="auto"/>
        <w:tabs>
          <w:tab w:leader="none" w:pos="240" w:val="left"/>
        </w:tabs>
        <w:numPr>
          <w:ilvl w:val="0"/>
          <w:numId w:val="1"/>
        </w:numPr>
        <w:rPr>
          <w:rFonts w:ascii="Arial" w:cs="Arial" w:eastAsia="Arial" w:hAnsi="Arial"/>
          <w:sz w:val="14"/>
          <w:szCs w:val="14"/>
          <w:color w:val="263E33"/>
        </w:rPr>
      </w:pPr>
      <w:r>
        <w:rPr xmlns:w="http://schemas.openxmlformats.org/wordprocessingml/2006/main">
          <w:rFonts w:ascii="Arial" w:cs="Arial" w:eastAsia="Arial" w:hAnsi="Arial"/>
          <w:sz w:val="17"/>
          <w:szCs w:val="17"/>
          <w:color w:val="auto"/>
        </w:rPr>
        <w:t xml:space="preserve">στο πρώτο έτος θα πάρετε πίσω το ποσό που επενδύσατε (0% ετήσια απόδοση).</w:t>
      </w:r>
      <w:r>
        <w:rPr xmlns:w="http://schemas.openxmlformats.org/wordprocessingml/2006/main">
          <w:rFonts w:ascii="Arial" w:cs="Arial" w:eastAsia="Arial" w:hAnsi="Arial"/>
          <w:sz w:val="17"/>
          <w:szCs w:val="17"/>
          <w:color w:val="auto"/>
        </w:rPr>
        <w:t xml:space="preserve"> </w:t>
      </w:r>
      <w:r>
        <w:rPr xmlns:w="http://schemas.openxmlformats.org/wordprocessingml/2006/main">
          <w:rFonts w:ascii="Arial" w:cs="Arial" w:eastAsia="Arial" w:hAnsi="Arial"/>
          <w:sz w:val="17"/>
          <w:szCs w:val="17"/>
          <w:color w:val="auto"/>
        </w:rPr>
        <w:t xml:space="preserve">Για τις άλλες περιόδους διατήρησης έχουμε υποθέσει ότι το προϊόν αποδίδει όπως φαίνεται στο μέτριο σενάριο,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391795</wp:posOffset>
            </wp:positionV>
            <wp:extent cx="6840220" cy="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21" w:right="5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2/3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p>
      <w:pPr>
        <w:sectPr>
          <w:pgSz w:w="11900" w:h="16838" w:orient="portrait"/>
          <w:cols w:equalWidth="0" w:num="1">
            <w:col w:w="10780"/>
          </w:cols>
          <w:pgMar w:left="560" w:top="521" w:right="566" w:bottom="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SPDR S&amp;P 500 ETF ΟΣΕΚΑ χαμηλής μεταβλητότητας, ένα επιμέρους κεφάλαιο της SSGA SPDR ETFs Europe I plc - Acc Cumulation USD (IE00B802KR88)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15875</wp:posOffset>
            </wp:positionV>
            <wp:extent cx="6840220" cy="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pacing w:after="0" w:line="29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63E33"/>
        </w:rPr>
        <w:t xml:space="preserve">Επενδύονται</w:t>
      </w:r>
      <w:r>
        <w:rPr xmlns:w="http://schemas.openxmlformats.org/wordprocessingml/2006/main">
          <w:rFonts w:ascii="Arial" w:cs="Arial" w:eastAsia="Arial" w:hAnsi="Arial"/>
          <w:sz w:val="16"/>
          <w:szCs w:val="16"/>
          <w:color w:val="000000"/>
        </w:rPr>
        <w:t xml:space="preserve"> 10.000 δολάρια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100330</wp:posOffset>
            </wp:positionV>
            <wp:extent cx="6840220" cy="5740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extLst>
                    </a:blip>
                    <a:srcRect/>
                    <a:stretch>
                      <a:fillRect/>
                    </a:stretch>
                  </pic:blipFill>
                  <pic:spPr bwMode="auto">
                    <a:xfrm>
                      <a:off x="0" y="0"/>
                      <a:ext cx="6840220" cy="574040"/>
                    </a:xfrm>
                    <a:prstGeom prst="rect">
                      <a:avLst/>
                    </a:prstGeom>
                    <a:noFill/>
                  </pic:spPr>
                </pic:pic>
              </a:graphicData>
            </a:graphic>
          </wp:anchor>
        </w:drawing>
      </w:r>
    </w:p>
    <w:p>
      <w:pPr>
        <w:spacing w:after="0" w:line="201" w:lineRule="exact"/>
        <w:rPr>
          <w:sz w:val="20"/>
          <w:szCs w:val="20"/>
          <w:color w:val="auto"/>
        </w:rPr>
      </w:pPr>
    </w:p>
    <w:tbl>
      <w:tblPr>
        <w:tblLayout w:type="fixed"/>
        <w:tblInd w:w="140" w:type="dxa"/>
        <w:tblCellMar>
          <w:top w:w="0" w:type="dxa"/>
          <w:left w:w="0" w:type="dxa"/>
          <w:bottom w:w="0" w:type="dxa"/>
          <w:right w:w="0" w:type="dxa"/>
        </w:tblCellMar>
      </w:tblPr>
      <w:tr>
        <w:trPr>
          <w:trHeight w:val="184"/>
        </w:trPr>
        <w:tc>
          <w:tcPr>
            <w:tcW w:w="49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c>
          <w:tcPr>
            <w:tcW w:w="0" w:type="dxa"/>
            <w:vAlign w:val="bottom"/>
          </w:tcPr>
          <w:p>
            <w:pPr>
              <w:spacing w:after="0"/>
              <w:rPr>
                <w:sz w:val="1"/>
                <w:szCs w:val="1"/>
                <w:color w:val="auto"/>
              </w:rPr>
            </w:pPr>
          </w:p>
        </w:tc>
      </w:tr>
      <w:tr>
        <w:trPr>
          <w:trHeight w:val="192"/>
        </w:trPr>
        <w:tc>
          <w:tcPr>
            <w:tcW w:w="4920" w:type="dxa"/>
            <w:vAlign w:val="bottom"/>
          </w:tcPr>
          <w:p>
            <w:pPr>
              <w:spacing w:after="0"/>
              <w:rPr>
                <w:sz w:val="16"/>
                <w:szCs w:val="16"/>
                <w:color w:val="auto"/>
              </w:rPr>
            </w:pPr>
          </w:p>
        </w:tc>
        <w:tc>
          <w:tcPr>
            <w:tcW w:w="3940" w:type="dxa"/>
            <w:vAlign w:val="bottom"/>
          </w:tcPr>
          <w:p>
            <w:pPr>
              <w:spacing w:after="0"/>
              <w:rPr>
                <w:sz w:val="16"/>
                <w:szCs w:val="16"/>
                <w:color w:val="auto"/>
              </w:rPr>
            </w:pP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b w:val="1"/>
                <w:bCs w:val="1"/>
                <w:color w:val="263E33"/>
                <w:w w:val="90"/>
              </w:rPr>
              <w:t xml:space="preserve">5 χρόνια</w:t>
            </w:r>
          </w:p>
        </w:tc>
        <w:tc>
          <w:tcPr>
            <w:tcW w:w="0" w:type="dxa"/>
            <w:vAlign w:val="bottom"/>
          </w:tcPr>
          <w:p>
            <w:pPr>
              <w:spacing w:after="0"/>
              <w:rPr>
                <w:sz w:val="1"/>
                <w:szCs w:val="1"/>
                <w:color w:val="auto"/>
              </w:rPr>
            </w:pPr>
          </w:p>
        </w:tc>
      </w:tr>
      <w:tr>
        <w:trPr>
          <w:trHeight w:val="193"/>
        </w:trPr>
        <w:tc>
          <w:tcPr>
            <w:tcW w:w="49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Παράδειγμα επένδυσης 10.000 USD</w:t>
            </w:r>
          </w:p>
        </w:tc>
        <w:tc>
          <w:tcPr>
            <w:tcW w:w="3940" w:type="dxa"/>
            <w:vAlign w:val="bottom"/>
          </w:tcPr>
          <w:p>
            <w:pPr xmlns:w="http://schemas.openxmlformats.org/wordprocessingml/2006/main">
              <w:jc w:val="center"/>
              <w:ind w:left="2320"/>
              <w:spacing w:after="0"/>
              <w:rPr>
                <w:sz w:val="20"/>
                <w:szCs w:val="20"/>
                <w:color w:val="auto"/>
              </w:rPr>
            </w:pPr>
            <w:r>
              <w:rPr xmlns:w="http://schemas.openxmlformats.org/wordprocessingml/2006/main">
                <w:rFonts w:ascii="Arial" w:cs="Arial" w:eastAsia="Arial" w:hAnsi="Arial"/>
                <w:sz w:val="16"/>
                <w:szCs w:val="16"/>
                <w:b w:val="1"/>
                <w:bCs w:val="1"/>
                <w:color w:val="263E33"/>
                <w:w w:val="96"/>
              </w:rPr>
              <w:t xml:space="preserve">αν πραγματοποιήσετε έξοδο μετά</w:t>
            </w:r>
          </w:p>
        </w:tc>
        <w:tc>
          <w:tcPr>
            <w:tcW w:w="1500" w:type="dxa"/>
            <w:vAlign w:val="bottom"/>
          </w:tcPr>
          <w:p>
            <w:pPr xmlns:w="http://schemas.openxmlformats.org/wordprocessingml/2006/main">
              <w:jc w:val="center"/>
              <w:ind w:left="320"/>
              <w:spacing w:after="0"/>
              <w:rPr>
                <w:sz w:val="20"/>
                <w:szCs w:val="20"/>
                <w:color w:val="auto"/>
              </w:rPr>
            </w:pPr>
            <w:r>
              <w:rPr xmlns:w="http://schemas.openxmlformats.org/wordprocessingml/2006/main">
                <w:rFonts w:ascii="Arial" w:cs="Arial" w:eastAsia="Arial" w:hAnsi="Arial"/>
                <w:sz w:val="16"/>
                <w:szCs w:val="16"/>
                <w:color w:val="263E33"/>
                <w:w w:val="92"/>
              </w:rPr>
              <w:t xml:space="preserve">(συνιστάται</w:t>
            </w:r>
          </w:p>
        </w:tc>
        <w:tc>
          <w:tcPr>
            <w:tcW w:w="0" w:type="dxa"/>
            <w:vAlign w:val="bottom"/>
          </w:tcPr>
          <w:p>
            <w:pPr>
              <w:spacing w:after="0"/>
              <w:rPr>
                <w:sz w:val="1"/>
                <w:szCs w:val="1"/>
                <w:color w:val="auto"/>
              </w:rPr>
            </w:pPr>
          </w:p>
        </w:tc>
      </w:tr>
      <w:tr>
        <w:trPr>
          <w:trHeight w:val="192"/>
        </w:trPr>
        <w:tc>
          <w:tcPr>
            <w:tcW w:w="4920" w:type="dxa"/>
            <w:vAlign w:val="bottom"/>
            <w:vMerge w:val="continue"/>
          </w:tcPr>
          <w:p>
            <w:pPr>
              <w:spacing w:after="0"/>
              <w:rPr>
                <w:sz w:val="16"/>
                <w:szCs w:val="16"/>
                <w:color w:val="auto"/>
              </w:rPr>
            </w:pPr>
          </w:p>
        </w:tc>
        <w:tc>
          <w:tcPr>
            <w:tcW w:w="3940" w:type="dxa"/>
            <w:vAlign w:val="bottom"/>
          </w:tcPr>
          <w:p>
            <w:pPr xmlns:w="http://schemas.openxmlformats.org/wordprocessingml/2006/main">
              <w:jc w:val="center"/>
              <w:ind w:left="2340"/>
              <w:spacing w:after="0"/>
              <w:rPr>
                <w:sz w:val="20"/>
                <w:szCs w:val="20"/>
                <w:color w:val="auto"/>
              </w:rPr>
            </w:pPr>
            <w:r>
              <w:rPr xmlns:w="http://schemas.openxmlformats.org/wordprocessingml/2006/main">
                <w:rFonts w:ascii="Arial" w:cs="Arial" w:eastAsia="Arial" w:hAnsi="Arial"/>
                <w:sz w:val="16"/>
                <w:szCs w:val="16"/>
                <w:b w:val="1"/>
                <w:bCs w:val="1"/>
                <w:color w:val="263E33"/>
                <w:w w:val="95"/>
              </w:rPr>
              <w:t xml:space="preserve">1 έτος</w:t>
            </w:r>
          </w:p>
        </w:tc>
        <w:tc>
          <w:tcPr>
            <w:tcW w:w="1500" w:type="dxa"/>
            <w:vAlign w:val="bottom"/>
          </w:tcPr>
          <w:p>
            <w:pPr xmlns:w="http://schemas.openxmlformats.org/wordprocessingml/2006/main">
              <w:jc w:val="center"/>
              <w:ind w:left="300"/>
              <w:spacing w:after="0"/>
              <w:rPr>
                <w:sz w:val="20"/>
                <w:szCs w:val="20"/>
                <w:color w:val="auto"/>
              </w:rPr>
            </w:pPr>
            <w:r>
              <w:rPr xmlns:w="http://schemas.openxmlformats.org/wordprocessingml/2006/main">
                <w:rFonts w:ascii="Arial" w:cs="Arial" w:eastAsia="Arial" w:hAnsi="Arial"/>
                <w:sz w:val="16"/>
                <w:szCs w:val="16"/>
                <w:color w:val="263E33"/>
                <w:w w:val="96"/>
              </w:rPr>
              <w:t xml:space="preserve">περίοδος διατήρησης)</w:t>
            </w:r>
          </w:p>
        </w:tc>
        <w:tc>
          <w:tcPr>
            <w:tcW w:w="0" w:type="dxa"/>
            <w:vAlign w:val="bottom"/>
          </w:tcPr>
          <w:p>
            <w:pPr>
              <w:spacing w:after="0"/>
              <w:rPr>
                <w:sz w:val="1"/>
                <w:szCs w:val="1"/>
                <w:color w:val="auto"/>
              </w:rPr>
            </w:pPr>
          </w:p>
        </w:tc>
      </w:tr>
      <w:tr>
        <w:trPr>
          <w:trHeight w:val="36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Συνολικές δαπάνες</w:t>
            </w:r>
          </w:p>
        </w:tc>
        <w:tc>
          <w:tcPr>
            <w:tcW w:w="3940" w:type="dxa"/>
            <w:vAlign w:val="bottom"/>
          </w:tcPr>
          <w:p>
            <w:pPr xmlns:w="http://schemas.openxmlformats.org/wordprocessingml/2006/main">
              <w:ind w:left="24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35 USD</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293 ΔΟΛΑΡΙΑ ΗΠΑ</w:t>
            </w:r>
          </w:p>
        </w:tc>
        <w:tc>
          <w:tcPr>
            <w:tcW w:w="0" w:type="dxa"/>
            <w:vAlign w:val="bottom"/>
          </w:tcPr>
          <w:p>
            <w:pPr>
              <w:spacing w:after="0"/>
              <w:rPr>
                <w:sz w:val="1"/>
                <w:szCs w:val="1"/>
                <w:color w:val="auto"/>
              </w:rPr>
            </w:pPr>
          </w:p>
        </w:tc>
      </w:tr>
      <w:tr>
        <w:trPr>
          <w:trHeight w:val="368"/>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Ετήσια επίπτωση του κόστους*</w:t>
            </w:r>
          </w:p>
        </w:tc>
        <w:tc>
          <w:tcPr>
            <w:tcW w:w="3940" w:type="dxa"/>
            <w:vAlign w:val="bottom"/>
          </w:tcPr>
          <w:p>
            <w:pPr xmlns:w="http://schemas.openxmlformats.org/wordprocessingml/2006/main">
              <w:ind w:left="24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0,4%</w:t>
            </w:r>
          </w:p>
        </w:tc>
        <w:tc>
          <w:tcPr>
            <w:tcW w:w="150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0,4%</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-414655</wp:posOffset>
            </wp:positionV>
            <wp:extent cx="6840220" cy="4667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extLst>
                    </a:blip>
                    <a:srcRect/>
                    <a:stretch>
                      <a:fillRect/>
                    </a:stretch>
                  </pic:blipFill>
                  <pic:spPr bwMode="auto">
                    <a:xfrm>
                      <a:off x="0" y="0"/>
                      <a:ext cx="6840220" cy="466725"/>
                    </a:xfrm>
                    <a:prstGeom prst="rect">
                      <a:avLst/>
                    </a:prstGeom>
                    <a:noFill/>
                  </pic:spPr>
                </pic:pic>
              </a:graphicData>
            </a:graphic>
          </wp:anchor>
        </w:drawing>
      </w:r>
    </w:p>
    <w:p>
      <w:pPr>
        <w:spacing w:after="0" w:line="225" w:lineRule="exact"/>
        <w:rPr>
          <w:sz w:val="20"/>
          <w:szCs w:val="20"/>
          <w:color w:val="auto"/>
        </w:rPr>
      </w:pPr>
    </w:p>
    <w:p>
      <w:pPr xmlns:w="http://schemas.openxmlformats.org/wordprocessingml/2006/main">
        <w:ind w:firstLine="7"/>
        <w:spacing w:after="0" w:line="245" w:lineRule="auto"/>
        <w:tabs>
          <w:tab w:leader="none" w:pos="222" w:val="left"/>
        </w:tabs>
        <w:numPr>
          <w:ilvl w:val="0"/>
          <w:numId w:val="2"/>
        </w:numPr>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7"/>
          <w:szCs w:val="17"/>
          <w:color w:val="auto"/>
        </w:rPr>
        <w:t xml:space="preserve"> Για παράδειγμα, δείχνει ότι αν βγείτε στη συνιστώμενη περίοδο αναμονής η μέση απόδοση ανά έτος προβλέπεται να είναι 11,0% πριν από το κόστος και 10,7% μετά το κόστος.</w:t>
      </w:r>
    </w:p>
    <w:p>
      <w:pPr>
        <w:sectPr>
          <w:pgSz w:w="11900" w:h="16838" w:orient="portrait"/>
          <w:cols w:equalWidth="0" w:num="1">
            <w:col w:w="10780"/>
          </w:cols>
          <w:pgMar w:left="560" w:top="517" w:right="566" w:bottom="0" w:gutter="0" w:footer="0" w:header="0"/>
        </w:sectPr>
      </w:pP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1"/>
          <w:szCs w:val="21"/>
          <w:b w:val="1"/>
          <w:bCs w:val="1"/>
          <w:color w:val="auto"/>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96520</wp:posOffset>
            </wp:positionV>
            <wp:extent cx="5219700" cy="3740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extLst>
                    </a:blip>
                    <a:srcRect/>
                    <a:stretch>
                      <a:fillRect/>
                    </a:stretch>
                  </pic:blipFill>
                  <pic:spPr bwMode="auto">
                    <a:xfrm>
                      <a:off x="0" y="0"/>
                      <a:ext cx="5219700" cy="374015"/>
                    </a:xfrm>
                    <a:prstGeom prst="rect">
                      <a:avLst/>
                    </a:prstGeom>
                    <a:noFill/>
                  </pic:spPr>
                </pic:pic>
              </a:graphicData>
            </a:graphic>
          </wp:anchor>
        </w:drawing>
      </w: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Εφάπαξ κόστος κατά την είσοδο ή την έξοδο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1624330</wp:posOffset>
            </wp:positionH>
            <wp:positionV relativeFrom="paragraph">
              <wp:posOffset>52705</wp:posOffset>
            </wp:positionV>
            <wp:extent cx="4763" cy="4737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extLst>
                    </a:blip>
                    <a:srcRect/>
                    <a:stretch>
                      <a:fillRect/>
                    </a:stretch>
                  </pic:blipFill>
                  <pic:spPr bwMode="auto">
                    <a:xfrm>
                      <a:off x="0" y="0"/>
                      <a:ext cx="4763" cy="473710"/>
                    </a:xfrm>
                    <a:prstGeom prst="rect">
                      <a:avLst/>
                    </a:prstGeom>
                    <a:noFill/>
                  </pic:spPr>
                </pic:pic>
              </a:graphicData>
            </a:graphic>
          </wp:anchor>
        </w:drawing>
      </w:r>
    </w:p>
    <w:p>
      <w:pPr>
        <w:spacing w:after="0" w:line="165"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Κόστος εισόδου</w:t>
        <w:tab xmlns:w="http://schemas.openxmlformats.org/wordprocessingml/2006/main"/>
      </w:r>
      <w:r>
        <w:rPr xmlns:w="http://schemas.openxmlformats.org/wordprocessingml/2006/main">
          <w:rFonts w:ascii="Arial" w:cs="Arial" w:eastAsia="Arial" w:hAnsi="Arial"/>
          <w:sz w:val="15"/>
          <w:szCs w:val="15"/>
          <w:b w:val="1"/>
          <w:bCs w:val="1"/>
          <w:color w:val="auto"/>
        </w:rPr>
        <w:t xml:space="preserve">0.00%</w:t>
      </w:r>
      <w:r>
        <w:rPr xmlns:w="http://schemas.openxmlformats.org/wordprocessingml/2006/main">
          <w:rFonts w:ascii="Arial" w:cs="Arial" w:eastAsia="Arial" w:hAnsi="Arial"/>
          <w:sz w:val="15"/>
          <w:szCs w:val="15"/>
          <w:color w:val="auto"/>
        </w:rPr>
        <w:t xml:space="preserve"> Η επίδραση του κόστους που πληρώνετε όταν εισέρχεστε στην επένδυσή σας.</w:t>
      </w:r>
      <w:r>
        <w:rPr xmlns:w="http://schemas.openxmlformats.org/wordprocessingml/2006/main">
          <w:rFonts w:ascii="Arial" w:cs="Arial" w:eastAsia="Arial" w:hAnsi="Arial"/>
          <w:sz w:val="15"/>
          <w:szCs w:val="15"/>
          <w:color w:val="auto"/>
        </w:rPr>
        <w:t xml:space="preserve"> Αυτό είναι</w:t>
      </w:r>
    </w:p>
    <w:p>
      <w:pPr>
        <w:spacing w:after="0" w:line="12" w:lineRule="exact"/>
        <w:rPr>
          <w:sz w:val="20"/>
          <w:szCs w:val="20"/>
          <w:color w:val="auto"/>
        </w:rPr>
      </w:pPr>
    </w:p>
    <w:p>
      <w:pPr xmlns:w="http://schemas.openxmlformats.org/wordprocessingml/2006/main">
        <w:ind w:left="2700" w:right="60"/>
        <w:spacing w:after="0" w:line="278" w:lineRule="auto"/>
        <w:rPr>
          <w:sz w:val="20"/>
          <w:szCs w:val="20"/>
          <w:color w:val="auto"/>
        </w:rPr>
      </w:pPr>
      <w:r>
        <w:rPr xmlns:w="http://schemas.openxmlformats.org/wordprocessingml/2006/main">
          <w:rFonts w:ascii="Arial" w:cs="Arial" w:eastAsia="Arial" w:hAnsi="Arial"/>
          <w:sz w:val="15"/>
          <w:szCs w:val="15"/>
          <w:color w:val="auto"/>
        </w:rPr>
        <w:t xml:space="preserve">τα περισσότερα που θα πληρώσετε, και θα μπορούσατε να πληρώσετε λιγότερα.</w:t>
      </w:r>
      <w:r>
        <w:rPr xmlns:w="http://schemas.openxmlformats.org/wordprocessingml/2006/main">
          <w:rFonts w:ascii="Arial" w:cs="Arial" w:eastAsia="Arial" w:hAnsi="Arial"/>
          <w:sz w:val="15"/>
          <w:szCs w:val="15"/>
          <w:color w:val="auto"/>
        </w:rPr>
        <w:t xml:space="preserve"> Οι επιπτώσεις του κόστους περιλαμβάνονται ήδη στην τιμή.</w:t>
      </w:r>
      <w:r>
        <w:rPr xmlns:w="http://schemas.openxmlformats.org/wordprocessingml/2006/main">
          <w:rFonts w:ascii="Arial" w:cs="Arial" w:eastAsia="Arial" w:hAnsi="Arial"/>
          <w:sz w:val="15"/>
          <w:szCs w:val="15"/>
          <w:color w:val="auto"/>
        </w:rPr>
        <w:t xml:space="preserve"> Αυτό περιλαμβάνει το κόστος διανομής του προϊόντος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31115</wp:posOffset>
            </wp:positionV>
            <wp:extent cx="5219700" cy="4763"/>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extLst>
                    </a:blip>
                    <a:srcRect/>
                    <a:stretch>
                      <a:fillRect/>
                    </a:stretch>
                  </pic:blipFill>
                  <pic:spPr bwMode="auto">
                    <a:xfrm>
                      <a:off x="0" y="0"/>
                      <a:ext cx="5219700" cy="4763"/>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ind w:right="140"/>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Ετήσιος αντίκτυπος κόστους αν βγείτε μετά από 1 έτος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-96520</wp:posOffset>
            </wp:positionH>
            <wp:positionV relativeFrom="paragraph">
              <wp:posOffset>-323215</wp:posOffset>
            </wp:positionV>
            <wp:extent cx="1619885" cy="8477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1619885" cy="847725"/>
                    </a:xfrm>
                    <a:prstGeom prst="rect">
                      <a:avLst/>
                    </a:prstGeom>
                    <a:noFill/>
                  </pic:spPr>
                </pic:pic>
              </a:graphicData>
            </a:graphic>
          </wp:anchor>
        </w:drawing>
      </w:r>
    </w:p>
    <w:p>
      <w:pPr>
        <w:spacing w:after="0" w:line="16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-96520</wp:posOffset>
            </wp:positionH>
            <wp:positionV relativeFrom="paragraph">
              <wp:posOffset>292100</wp:posOffset>
            </wp:positionV>
            <wp:extent cx="1619885" cy="4763"/>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1619885" cy="4763"/>
                    </a:xfrm>
                    <a:prstGeom prst="rect">
                      <a:avLst/>
                    </a:prstGeom>
                    <a:noFill/>
                  </pic:spPr>
                </pic:pic>
              </a:graphicData>
            </a:graphic>
          </wp:anchor>
        </w:drawing>
      </w:r>
    </w:p>
    <w:p>
      <w:pPr>
        <w:spacing w:after="0" w:line="432" w:lineRule="exact"/>
        <w:rPr>
          <w:sz w:val="20"/>
          <w:szCs w:val="20"/>
          <w:color w:val="auto"/>
        </w:rPr>
      </w:pPr>
    </w:p>
    <w:p>
      <w:pPr>
        <w:sectPr>
          <w:pgSz w:w="11900" w:h="16838" w:orient="portrait"/>
          <w:cols w:equalWidth="0" w:num="2">
            <w:col w:w="7940" w:space="440"/>
            <w:col w:w="2400"/>
          </w:cols>
          <w:pgMar w:left="560" w:top="517" w:right="566" w:bottom="0" w:gutter="0" w:footer="0" w:header="0"/>
          <w:type w:val="continuous"/>
        </w:sect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εξόδου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0.00%</w:t>
      </w:r>
      <w:r>
        <w:rPr xmlns:w="http://schemas.openxmlformats.org/wordprocessingml/2006/main">
          <w:rFonts w:ascii="Arial" w:cs="Arial" w:eastAsia="Arial" w:hAnsi="Arial"/>
          <w:sz w:val="16"/>
          <w:szCs w:val="16"/>
          <w:color w:val="auto"/>
        </w:rPr>
        <w:t xml:space="preserve"> Ο αντίκτυπος του κόστους εξόδου από την επένδυσή σας όταν ωριμάσει.</w:t>
      </w:r>
      <w:r>
        <w:rPr xmlns:w="http://schemas.openxmlformats.org/wordprocessingml/2006/main">
          <w:rFonts w:ascii="Arial" w:cs="Arial" w:eastAsia="Arial" w:hAnsi="Arial"/>
          <w:sz w:val="16"/>
          <w:szCs w:val="16"/>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0</wp:posOffset>
            </wp:positionV>
            <wp:extent cx="6840220" cy="37401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6840220" cy="374015"/>
                    </a:xfrm>
                    <a:prstGeom prst="rect">
                      <a:avLst/>
                    </a:prstGeom>
                    <a:noFill/>
                  </pic:spPr>
                </pic:pic>
              </a:graphicData>
            </a:graphic>
          </wp:anchor>
        </w:drawing>
      </w:r>
    </w:p>
    <w:p>
      <w:pPr>
        <w:sectPr>
          <w:pgSz w:w="11900" w:h="16838" w:orient="portrait"/>
          <w:cols w:equalWidth="0" w:num="1">
            <w:col w:w="10780"/>
          </w:cols>
          <w:pgMar w:left="560" w:top="517" w:right="566" w:bottom="0" w:gutter="0" w:footer="0" w:header="0"/>
          <w:type w:val="continuous"/>
        </w:sectPr>
      </w:pPr>
    </w:p>
    <w:p>
      <w:pPr>
        <w:spacing w:after="0" w:line="311"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Τρέχουσες δαπάνες που αναλαμβάνονται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1624330</wp:posOffset>
            </wp:positionH>
            <wp:positionV relativeFrom="paragraph">
              <wp:posOffset>52705</wp:posOffset>
            </wp:positionV>
            <wp:extent cx="4763" cy="7175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4763" cy="717550"/>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Έξοδα διαχείρισης και λοιπά</w:t>
        <w:tab xmlns:w="http://schemas.openxmlformats.org/wordprocessingml/2006/main"/>
      </w:r>
      <w:r>
        <w:rPr xmlns:w="http://schemas.openxmlformats.org/wordprocessingml/2006/main">
          <w:rFonts w:ascii="Arial" w:cs="Arial" w:eastAsia="Arial" w:hAnsi="Arial"/>
          <w:sz w:val="15"/>
          <w:szCs w:val="15"/>
          <w:b w:val="1"/>
          <w:bCs w:val="1"/>
          <w:color w:val="auto"/>
        </w:rPr>
        <w:t xml:space="preserve">0.35%</w:t>
      </w:r>
      <w:r>
        <w:rPr xmlns:w="http://schemas.openxmlformats.org/wordprocessingml/2006/main">
          <w:rFonts w:ascii="Arial" w:cs="Arial" w:eastAsia="Arial" w:hAnsi="Arial"/>
          <w:sz w:val="15"/>
          <w:szCs w:val="15"/>
          <w:color w:val="auto"/>
        </w:rPr>
        <w:t xml:space="preserve"> Ο αντίκτυπος του κόστους που παίρνουμε κάθε χρόνο για τη διαχείριση σας</w:t>
      </w:r>
    </w:p>
    <w:p>
      <w:pPr>
        <w:spacing w:after="0" w:line="8"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διοικητικό ή λειτουργικό</w:t>
        <w:tab xmlns:w="http://schemas.openxmlformats.org/wordprocessingml/2006/main"/>
      </w:r>
      <w:r>
        <w:rPr xmlns:w="http://schemas.openxmlformats.org/wordprocessingml/2006/main">
          <w:rFonts w:ascii="Arial" w:cs="Arial" w:eastAsia="Arial" w:hAnsi="Arial"/>
          <w:sz w:val="15"/>
          <w:szCs w:val="15"/>
          <w:color w:val="auto"/>
        </w:rPr>
        <w:t xml:space="preserve">επενδύσεις.</w:t>
      </w:r>
      <w:r>
        <w:rPr xmlns:w="http://schemas.openxmlformats.org/wordprocessingml/2006/main">
          <w:rFonts w:ascii="Arial" w:cs="Arial" w:eastAsia="Arial" w:hAnsi="Arial"/>
          <w:sz w:val="15"/>
          <w:szCs w:val="15"/>
          <w:color w:val="auto"/>
        </w:rPr>
        <w:t xml:space="preserve"> Αυτό θα περιλαμβάνει το κόστος δανεισμού χρημάτων για την επένδυση, αλλά όχι οποιαδήποτε</w:t>
      </w:r>
    </w:p>
    <w:p>
      <w:pPr>
        <w:spacing w:after="0" w:line="9"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δαπάνες</w:t>
        <w:tab xmlns:w="http://schemas.openxmlformats.org/wordprocessingml/2006/main"/>
      </w:r>
      <w:r>
        <w:rPr xmlns:w="http://schemas.openxmlformats.org/wordprocessingml/2006/main">
          <w:rFonts w:ascii="Arial" w:cs="Arial" w:eastAsia="Arial" w:hAnsi="Arial"/>
          <w:sz w:val="16"/>
          <w:szCs w:val="16"/>
          <w:color w:val="auto"/>
        </w:rPr>
        <w:t xml:space="preserve">το κόστος λειτουργίας του συστήματος διαχείρισης της ρευστότητας και των</w:t>
      </w:r>
    </w:p>
    <w:p>
      <w:pPr>
        <w:spacing w:after="0" w:line="14" w:lineRule="exact"/>
        <w:rPr>
          <w:sz w:val="20"/>
          <w:szCs w:val="20"/>
          <w:color w:val="auto"/>
        </w:rPr>
      </w:pPr>
    </w:p>
    <w:p>
      <w:pPr xmlns:w="http://schemas.openxmlformats.org/wordprocessingml/2006/main">
        <w:ind w:left="2700" w:right="320"/>
        <w:spacing w:after="0" w:line="242" w:lineRule="auto"/>
        <w:rPr>
          <w:sz w:val="20"/>
          <w:szCs w:val="20"/>
          <w:color w:val="auto"/>
        </w:rPr>
      </w:pPr>
      <w:r>
        <w:rPr xmlns:w="http://schemas.openxmlformats.org/wordprocessingml/2006/main">
          <w:rFonts w:ascii="Arial" w:cs="Arial" w:eastAsia="Arial" w:hAnsi="Arial"/>
          <w:sz w:val="16"/>
          <w:szCs w:val="16"/>
          <w:color w:val="auto"/>
        </w:rPr>
        <w:t xml:space="preserve">της εταιρείας, αλλά όχι τα έσοδα που προκύπτουν από αυτήν, και το συνεχιζόμενο κόστος τυχόν υποκείμενων επενδύσεων σε κεφάλαια εντός του χαρτοφυλακίου της εταιρείας.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48895</wp:posOffset>
            </wp:positionV>
            <wp:extent cx="5219700" cy="3556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5219700" cy="355600"/>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ind w:left="140"/>
        <w:spacing w:after="0"/>
        <w:tabs>
          <w:tab w:leader="none" w:pos="2680" w:val="left"/>
        </w:tabs>
        <w:rPr>
          <w:sz w:val="20"/>
          <w:szCs w:val="20"/>
          <w:color w:val="auto"/>
        </w:rPr>
      </w:pPr>
      <w:r>
        <w:rPr xmlns:w="http://schemas.openxmlformats.org/wordprocessingml/2006/main">
          <w:rFonts w:ascii="Arial" w:cs="Arial" w:eastAsia="Arial" w:hAnsi="Arial"/>
          <w:sz w:val="16"/>
          <w:szCs w:val="16"/>
          <w:b w:val="1"/>
          <w:bCs w:val="1"/>
          <w:color w:val="auto"/>
        </w:rPr>
        <w:t xml:space="preserve">Κόστος συναλλαγής</w:t>
        <w:tab xmlns:w="http://schemas.openxmlformats.org/wordprocessingml/2006/main"/>
      </w:r>
      <w:r>
        <w:rPr xmlns:w="http://schemas.openxmlformats.org/wordprocessingml/2006/main">
          <w:rFonts w:ascii="Arial" w:cs="Arial" w:eastAsia="Arial" w:hAnsi="Arial"/>
          <w:sz w:val="15"/>
          <w:szCs w:val="15"/>
          <w:b w:val="1"/>
          <w:bCs w:val="1"/>
          <w:color w:val="auto"/>
        </w:rPr>
        <w:t xml:space="preserve">0.00%</w:t>
      </w:r>
      <w:r>
        <w:rPr xmlns:w="http://schemas.openxmlformats.org/wordprocessingml/2006/main">
          <w:rFonts w:ascii="Arial" w:cs="Arial" w:eastAsia="Arial" w:hAnsi="Arial"/>
          <w:sz w:val="15"/>
          <w:szCs w:val="15"/>
          <w:color w:val="auto"/>
        </w:rPr>
        <w:t xml:space="preserve"> Η επίδραση του κόστους αγοράς και πώλησης υποκείμενων επενδύσεων από εμάς</w:t>
      </w:r>
    </w:p>
    <w:p>
      <w:pPr>
        <w:spacing w:after="0" w:line="10" w:lineRule="exact"/>
        <w:rPr>
          <w:sz w:val="20"/>
          <w:szCs w:val="20"/>
          <w:color w:val="auto"/>
        </w:rPr>
      </w:pPr>
    </w:p>
    <w:p>
      <w:pPr xmlns:w="http://schemas.openxmlformats.org/wordprocessingml/2006/main">
        <w:ind w:left="2700"/>
        <w:spacing w:after="0"/>
        <w:rPr>
          <w:sz w:val="20"/>
          <w:szCs w:val="20"/>
          <w:color w:val="auto"/>
        </w:rPr>
      </w:pPr>
      <w:r>
        <w:rPr xmlns:w="http://schemas.openxmlformats.org/wordprocessingml/2006/main">
          <w:rFonts w:ascii="Arial" w:cs="Arial" w:eastAsia="Arial" w:hAnsi="Arial"/>
          <w:sz w:val="16"/>
          <w:szCs w:val="16"/>
          <w:color w:val="auto"/>
        </w:rPr>
        <w:t xml:space="preserve">για το προϊόν.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48260</wp:posOffset>
            </wp:positionV>
            <wp:extent cx="5219700" cy="3740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5219700" cy="37401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1" w:lineRule="exact"/>
        <w:rPr>
          <w:sz w:val="20"/>
          <w:szCs w:val="20"/>
          <w:color w:val="auto"/>
        </w:rPr>
      </w:pPr>
    </w:p>
    <w:p>
      <w:pPr xmlns:w="http://schemas.openxmlformats.org/wordprocessingml/2006/main">
        <w:ind w:left="5" w:right="140"/>
        <w:spacing w:after="0" w:line="245" w:lineRule="auto"/>
        <w:rPr>
          <w:sz w:val="20"/>
          <w:szCs w:val="20"/>
          <w:color w:val="auto"/>
        </w:rPr>
      </w:pPr>
      <w:r>
        <w:rPr xmlns:w="http://schemas.openxmlformats.org/wordprocessingml/2006/main">
          <w:rFonts w:ascii="Arial" w:cs="Arial" w:eastAsia="Arial" w:hAnsi="Arial"/>
          <w:sz w:val="17"/>
          <w:szCs w:val="17"/>
          <w:b w:val="1"/>
          <w:bCs w:val="1"/>
          <w:color w:val="263E33"/>
        </w:rPr>
        <w:t xml:space="preserve">Ετήσιος αντίκτυπος κόστους αν βγείτε μετά από 1 έτος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-92710</wp:posOffset>
            </wp:positionH>
            <wp:positionV relativeFrom="paragraph">
              <wp:posOffset>50165</wp:posOffset>
            </wp:positionV>
            <wp:extent cx="4763" cy="7175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4763" cy="717550"/>
                    </a:xfrm>
                    <a:prstGeom prst="rect">
                      <a:avLst/>
                    </a:prstGeom>
                    <a:noFill/>
                  </pic:spPr>
                </pic:pic>
              </a:graphicData>
            </a:graphic>
          </wp:anchor>
        </w:drawing>
      </w:r>
    </w:p>
    <w:p>
      <w:pPr>
        <w:spacing w:after="0" w:line="159" w:lineRule="exact"/>
        <w:rPr>
          <w:sz w:val="20"/>
          <w:szCs w:val="20"/>
          <w:color w:val="auto"/>
        </w:rPr>
      </w:pPr>
    </w:p>
    <w:p>
      <w:pPr xmlns:w="http://schemas.openxmlformats.org/wordprocessingml/2006/main">
        <w:ind w:left="225" w:hanging="225"/>
        <w:spacing w:after="0"/>
        <w:tabs>
          <w:tab w:leader="none" w:pos="225" w:val="left"/>
        </w:tabs>
        <w:numPr>
          <w:ilvl w:val="0"/>
          <w:numId w:val="3"/>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USD</w:t>
      </w:r>
    </w:p>
    <w:p>
      <w:pPr>
        <w:spacing w:after="0" w:line="200" w:lineRule="exact"/>
        <w:rPr>
          <w:rFonts w:ascii="Arial" w:cs="Arial" w:eastAsia="Arial" w:hAnsi="Arial"/>
          <w:sz w:val="16"/>
          <w:szCs w:val="16"/>
          <w:b w:val="1"/>
          <w:bCs w:val="1"/>
          <w:color w:val="auto"/>
        </w:rPr>
      </w:pPr>
    </w:p>
    <w:p>
      <w:pPr>
        <w:spacing w:after="0" w:line="200" w:lineRule="exact"/>
        <w:rPr>
          <w:rFonts w:ascii="Arial" w:cs="Arial" w:eastAsia="Arial" w:hAnsi="Arial"/>
          <w:sz w:val="16"/>
          <w:szCs w:val="16"/>
          <w:b w:val="1"/>
          <w:bCs w:val="1"/>
          <w:color w:val="auto"/>
        </w:rPr>
      </w:pPr>
    </w:p>
    <w:p>
      <w:pPr>
        <w:spacing w:after="0" w:line="200" w:lineRule="exact"/>
        <w:rPr>
          <w:rFonts w:ascii="Arial" w:cs="Arial" w:eastAsia="Arial" w:hAnsi="Arial"/>
          <w:sz w:val="16"/>
          <w:szCs w:val="16"/>
          <w:b w:val="1"/>
          <w:bCs w:val="1"/>
          <w:color w:val="auto"/>
        </w:rPr>
      </w:pPr>
    </w:p>
    <w:p>
      <w:pPr>
        <w:spacing w:after="0" w:line="352" w:lineRule="exact"/>
        <w:rPr>
          <w:rFonts w:ascii="Arial" w:cs="Arial" w:eastAsia="Arial" w:hAnsi="Arial"/>
          <w:sz w:val="16"/>
          <w:szCs w:val="16"/>
          <w:b w:val="1"/>
          <w:bCs w:val="1"/>
          <w:color w:val="auto"/>
        </w:rPr>
      </w:pPr>
    </w:p>
    <w:p>
      <w:pPr xmlns:w="http://schemas.openxmlformats.org/wordprocessingml/2006/main">
        <w:ind w:left="145" w:hanging="145"/>
        <w:spacing w:after="0"/>
        <w:tabs>
          <w:tab w:leader="none" w:pos="145" w:val="left"/>
        </w:tabs>
        <w:numPr>
          <w:ilvl w:val="0"/>
          <w:numId w:val="4"/>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-92710</wp:posOffset>
            </wp:positionH>
            <wp:positionV relativeFrom="paragraph">
              <wp:posOffset>-183515</wp:posOffset>
            </wp:positionV>
            <wp:extent cx="1619885" cy="7296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1619885" cy="729615"/>
                    </a:xfrm>
                    <a:prstGeom prst="rect">
                      <a:avLst/>
                    </a:prstGeom>
                    <a:noFill/>
                  </pic:spPr>
                </pic:pic>
              </a:graphicData>
            </a:graphic>
          </wp:anchor>
        </w:drawing>
      </w:r>
    </w:p>
    <w:p>
      <w:pPr>
        <w:spacing w:after="0" w:line="380" w:lineRule="exact"/>
        <w:rPr>
          <w:sz w:val="20"/>
          <w:szCs w:val="20"/>
          <w:color w:val="auto"/>
        </w:rPr>
      </w:pPr>
    </w:p>
    <w:p>
      <w:pPr>
        <w:sectPr>
          <w:pgSz w:w="11900" w:h="16838" w:orient="portrait"/>
          <w:cols w:equalWidth="0" w:num="2">
            <w:col w:w="8080" w:space="295"/>
            <w:col w:w="2405"/>
          </w:cols>
          <w:pgMar w:left="560" w:top="517" w:right="566" w:bottom="0" w:gutter="0" w:footer="0" w:header="0"/>
          <w:type w:val="continuous"/>
        </w:sectPr>
      </w:pPr>
    </w:p>
    <w:p>
      <w:pPr xmlns:w="http://schemas.openxmlformats.org/wordprocessingml/2006/main">
        <w:ind w:left="8380"/>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Ετήσια επίπτωση του κόστους σε περίπτωση εξόδου</w:t>
      </w:r>
    </w:p>
    <w:p>
      <w:pPr>
        <w:spacing w:after="0" w:line="16" w:lineRule="exact"/>
        <w:rPr>
          <w:sz w:val="20"/>
          <w:szCs w:val="20"/>
          <w:color w:val="auto"/>
        </w:rPr>
      </w:pPr>
    </w:p>
    <w:p>
      <w:pPr xmlns:w="http://schemas.openxmlformats.org/wordprocessingml/2006/main">
        <w:ind w:left="140"/>
        <w:spacing w:after="0"/>
        <w:tabs>
          <w:tab w:leader="none" w:pos="8360" w:val="left"/>
        </w:tabs>
        <w:rPr>
          <w:sz w:val="20"/>
          <w:szCs w:val="20"/>
          <w:color w:val="auto"/>
        </w:rPr>
      </w:pPr>
      <w:r>
        <w:rPr xmlns:w="http://schemas.openxmlformats.org/wordprocessingml/2006/main">
          <w:rFonts w:ascii="Arial" w:cs="Arial" w:eastAsia="Arial" w:hAnsi="Arial"/>
          <w:sz w:val="17"/>
          <w:szCs w:val="17"/>
          <w:b w:val="1"/>
          <w:bCs w:val="1"/>
          <w:color w:val="263E33"/>
        </w:rPr>
        <w:t xml:space="preserve">Παρεμπίπτοντα έξοδα που αναλαμβάνονται υπό ειδικές συνθήκες</w:t>
        <w:tab xmlns:w="http://schemas.openxmlformats.org/wordprocessingml/2006/main"/>
      </w:r>
      <w:r>
        <w:rPr xmlns:w="http://schemas.openxmlformats.org/wordprocessingml/2006/main">
          <w:rFonts w:ascii="Arial" w:cs="Arial" w:eastAsia="Arial" w:hAnsi="Arial"/>
          <w:sz w:val="16"/>
          <w:szCs w:val="16"/>
          <w:b w:val="1"/>
          <w:bCs w:val="1"/>
          <w:color w:val="263E33"/>
        </w:rPr>
        <w:t xml:space="preserve">μετά από 1 έτος</w:t>
      </w:r>
    </w:p>
    <w:p>
      <w:pPr>
        <w:spacing w:after="0" w:line="49"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Οι </w:t>
      </w:r>
      <w:r>
        <w:rPr xmlns:w="http://schemas.openxmlformats.org/wordprocessingml/2006/main">
          <w:rFonts w:ascii="Arial" w:cs="Arial" w:eastAsia="Arial" w:hAnsi="Arial"/>
          <w:sz w:val="16"/>
          <w:szCs w:val="16"/>
          <w:color w:val="auto"/>
        </w:rPr>
        <w:t xml:space="preserve">επιπτώσεις</w:t>
      </w:r>
      <w:r>
        <w:rPr xmlns:w="http://schemas.openxmlformats.org/wordprocessingml/2006/main">
          <w:rFonts w:ascii="Arial" w:cs="Arial" w:eastAsia="Arial" w:hAnsi="Arial"/>
          <w:sz w:val="16"/>
          <w:szCs w:val="16"/>
          <w:b w:val="1"/>
          <w:bCs w:val="1"/>
          <w:color w:val="auto"/>
        </w:rPr>
        <w:t xml:space="preserve"> των</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τελών επίδοσης.</w:t>
      </w:r>
      <w:r>
        <w:rPr xmlns:w="http://schemas.openxmlformats.org/wordprocessingml/2006/main">
          <w:rFonts w:ascii="Arial" w:cs="Arial" w:eastAsia="Arial" w:hAnsi="Arial"/>
          <w:sz w:val="16"/>
          <w:szCs w:val="16"/>
          <w:color w:val="auto"/>
        </w:rPr>
        <w:t xml:space="preserve"> Δεν υπάρχει τέλος απόδοσης για αυτό το Ταμείο.</w:t>
      </w:r>
      <w:r>
        <w:rPr xmlns:w="http://schemas.openxmlformats.org/wordprocessingml/2006/main">
          <w:rFonts w:ascii="Arial" w:cs="Arial" w:eastAsia="Arial" w:hAnsi="Arial"/>
          <w:sz w:val="16"/>
          <w:szCs w:val="16"/>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763" cy="2298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4763" cy="229870"/>
                    </a:xfrm>
                    <a:prstGeom prst="rect">
                      <a:avLst/>
                    </a:prstGeom>
                    <a:noFill/>
                    <a:ln>
                      <a:noFill/>
                    </a:ln>
                  </pic:spPr>
                </pic:pic>
              </a:graphicData>
            </a:graphic>
          </wp:inline>
        </w:drawing>
      </w:r>
      <w:r>
        <w:rPr xmlns:w="http://schemas.openxmlformats.org/wordprocessingml/2006/main">
          <w:rFonts w:ascii="Arial" w:cs="Arial" w:eastAsia="Arial" w:hAnsi="Arial"/>
          <w:sz w:val="16"/>
          <w:szCs w:val="16"/>
          <w:b w:val="1"/>
          <w:bCs w:val="1"/>
          <w:color w:val="auto"/>
        </w:rPr>
        <w:t xml:space="preserve">  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0</wp:posOffset>
            </wp:positionV>
            <wp:extent cx="6840220" cy="4763"/>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18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Πόσο καιρό θα πρέπει να το κρατήσω και μπορώ να βγάλω χρήματα νωρίς;</w:t>
      </w:r>
    </w:p>
    <w:p>
      <w:pPr>
        <w:spacing w:after="0" w:line="6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263E33"/>
        </w:rPr>
        <w:t xml:space="preserve">Συνιστώμενη περίοδος διατήρησης:</w:t>
      </w:r>
      <w:r>
        <w:rPr xmlns:w="http://schemas.openxmlformats.org/wordprocessingml/2006/main">
          <w:rFonts w:ascii="Arial" w:cs="Arial" w:eastAsia="Arial" w:hAnsi="Arial"/>
          <w:sz w:val="17"/>
          <w:szCs w:val="17"/>
          <w:b w:val="1"/>
          <w:bCs w:val="1"/>
          <w:color w:val="263E33"/>
        </w:rPr>
        <w:t xml:space="preserve"> 5 χρόνια</w:t>
      </w:r>
    </w:p>
    <w:p>
      <w:pPr>
        <w:spacing w:after="0" w:line="69" w:lineRule="exact"/>
        <w:rPr>
          <w:sz w:val="20"/>
          <w:szCs w:val="20"/>
          <w:color w:val="auto"/>
        </w:rPr>
      </w:pPr>
    </w:p>
    <w:p>
      <w:pPr xmlns:w="http://schemas.openxmlformats.org/wordprocessingml/2006/main">
        <w:spacing w:after="0" w:line="248" w:lineRule="auto"/>
        <w:rPr>
          <w:rFonts w:ascii="Arial" w:cs="Arial" w:eastAsia="Arial" w:hAnsi="Arial"/>
          <w:sz w:val="17"/>
          <w:szCs w:val="17"/>
          <w:color w:val="auto"/>
        </w:rPr>
      </w:pPr>
      <w:r>
        <w:rPr xmlns:w="http://schemas.openxmlformats.org/wordprocessingml/2006/main">
          <w:rFonts w:ascii="Arial" w:cs="Arial" w:eastAsia="Arial" w:hAnsi="Arial"/>
          <w:sz w:val="17"/>
          <w:szCs w:val="17"/>
          <w:color w:val="auto"/>
        </w:rPr>
        <w:t xml:space="preserve">Το Ταμείο αυτό προορίζεται για μακροπρόθεσμες επενδύσεις.</w:t>
      </w:r>
      <w:r>
        <w:rPr xmlns:w="http://schemas.openxmlformats.org/wordprocessingml/2006/main">
          <w:rFonts w:ascii="Arial" w:cs="Arial" w:eastAsia="Arial" w:hAnsi="Arial"/>
          <w:sz w:val="17"/>
          <w:szCs w:val="17"/>
          <w:color w:val="auto"/>
        </w:rPr>
        <w:t xml:space="preserve"> θα πρέπει να είστε προετοιμασμένοι να μείνετε επενδυμένοι για τουλάχιστον 5 χρόνια.</w:t>
      </w:r>
      <w:r>
        <w:rPr xmlns:w="http://schemas.openxmlformats.org/wordprocessingml/2006/main">
          <w:rFonts w:ascii="Arial" w:cs="Arial" w:eastAsia="Arial" w:hAnsi="Arial"/>
          <w:sz w:val="17"/>
          <w:szCs w:val="17"/>
          <w:color w:val="auto"/>
        </w:rPr>
        <w:t xml:space="preserve"> Ωστόσο, μπορείτε να εξαργυρώσετε την επένδυσή σας χωρίς ποινή οποιαδήποτε στιγμή κατά τη διάρκεια αυτής της περιόδου ή να διατηρήσετε την επένδυση για μεγαλύτερο χρονικό διάστημα.</w:t>
      </w:r>
      <w:r>
        <w:rPr xmlns:w="http://schemas.openxmlformats.org/wordprocessingml/2006/main">
          <w:rFonts w:ascii="Arial" w:cs="Arial" w:eastAsia="Arial" w:hAnsi="Arial"/>
          <w:sz w:val="17"/>
          <w:szCs w:val="17"/>
          <w:color w:val="auto"/>
        </w:rPr>
        <w:t xml:space="preserve"> Οι εξαγορές είναι δυνατές κάθε εργάσιμη ημέρα.</w:t>
      </w:r>
      <w:r>
        <w:rPr xmlns:w="http://schemas.openxmlformats.org/wordprocessingml/2006/main">
          <w:rFonts w:ascii="Arial" w:cs="Arial" w:eastAsia="Arial" w:hAnsi="Arial"/>
          <w:sz w:val="17"/>
          <w:szCs w:val="17"/>
          <w:color w:val="auto"/>
        </w:rPr>
        <w:t xml:space="preserve"> θα χρειαστούν 2 εργάσιμες ημέρες για να πληρωθείτε.</w:t>
      </w:r>
      <w:r>
        <w:rPr xmlns:w="http://schemas.openxmlformats.org/wordprocessingml/2006/main">
          <w:rFonts w:ascii="Arial" w:cs="Arial" w:eastAsia="Arial" w:hAnsi="Arial"/>
          <w:sz w:val="17"/>
          <w:szCs w:val="17"/>
          <w:color w:val="auto"/>
        </w:rPr>
        <w:t xml:space="preserve"> Η τιμή της ημέρας, που αντικατοπτρίζει την πραγματική αξία του Ταμείου, καθορίζεται κάθε ημέρα μετά το σημείο αποτίμησης και δημοσιεύεται στην ιστοσελίδα μας </w:t>
      </w:r>
      <w:hyperlink r:id="rId17">
        <w:r>
          <w:rPr xmlns:w="http://schemas.openxmlformats.org/wordprocessingml/2006/main">
            <w:rFonts w:ascii="Arial" w:cs="Arial" w:eastAsia="Arial" w:hAnsi="Arial"/>
            <w:sz w:val="17"/>
            <w:szCs w:val="17"/>
            <w:color w:val="auto"/>
          </w:rPr>
          <w:t xml:space="preserve">www.ssga.com.</w:t>
        </w:r>
      </w:hyperlink>
    </w:p>
    <w:p>
      <w:pPr>
        <w:spacing w:after="0" w:line="83"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Καθώς οι μετοχές είναι εισηγμένες στο χρηματιστήριο, μπορείτε να αγοράσετε ή να πωλήσετε μετοχές στο προϊόν, χωρίς ποινή, σε οποιαδήποτε κανονική εργάσιμη ημέρα.</w:t>
      </w:r>
      <w:r>
        <w:rPr xmlns:w="http://schemas.openxmlformats.org/wordprocessingml/2006/main">
          <w:rFonts w:ascii="Arial" w:cs="Arial" w:eastAsia="Arial" w:hAnsi="Arial"/>
          <w:sz w:val="17"/>
          <w:szCs w:val="17"/>
          <w:color w:val="auto"/>
        </w:rPr>
        <w:t xml:space="preserve"> Επικοινωνήστε με το μεσίτη, τον οικονομικό σύμβουλο ή το διανομέα σας για πληροφορίες σχετικά με τα έξοδα και τις επιβαρύνσεις που σχετίζονται με την πώληση των μετοχών.</w:t>
      </w:r>
    </w:p>
    <w:p>
      <w:pPr>
        <w:spacing w:after="0" w:line="84"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7"/>
          <w:szCs w:val="17"/>
          <w:color w:val="auto"/>
        </w:rPr>
        <w:t xml:space="preserve">Οι μετοχές της ETF που αγοράζονται στη δευτερογενή αγορά δεν μπορούν συνήθως να πωληθούν απευθείας στην Εταιρεία.</w:t>
      </w:r>
      <w:r>
        <w:rPr xmlns:w="http://schemas.openxmlformats.org/wordprocessingml/2006/main">
          <w:rFonts w:ascii="Arial" w:cs="Arial" w:eastAsia="Arial" w:hAnsi="Arial"/>
          <w:sz w:val="17"/>
          <w:szCs w:val="17"/>
          <w:color w:val="auto"/>
        </w:rPr>
        <w:t xml:space="preserve"> Σε εξαιρετικές περιπτώσεις, είτε ως αποτέλεσμα διαταραχών στη δευτερογενή αγορά είτε με άλλο τρόπο, οι επενδυτές που έχουν αποκτήσει μετοχές ETF στη δευτερογενή αγορά δικαιούνται να ζητήσουν γραπτώς από την Εταιρεία να καταχωρίσουν τις εν λόγω μετοχές ETF στο όνομά τους, ώστε να τους δοθεί η δυνατότητα πρόσβασης στις διευκολύνσεις εξαγοράς που περιγράφονται στο τμήμα «Πρωτογενής αγορά».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154305</wp:posOffset>
            </wp:positionV>
            <wp:extent cx="6840220" cy="4763"/>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Πώς μπορώ να παραπονεθώ;</w:t>
      </w:r>
    </w:p>
    <w:p>
      <w:pPr>
        <w:spacing w:after="0" w:line="148" w:lineRule="exact"/>
        <w:rPr>
          <w:sz w:val="20"/>
          <w:szCs w:val="20"/>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7"/>
          <w:szCs w:val="17"/>
          <w:color w:val="auto"/>
        </w:rPr>
        <w:t xml:space="preserve">Αν έχετε κάποιο παράπονο σχετικά με το Ταμείο ή τον Διευθυντή, μπορείτε να βρείτε περισσότερες λεπτομέρειες σχετικά με το πώς να παραπονεθείτε και την πολιτική διαχείρισης παραπόνων του Διευθυντή στην ενότητα "Επικοινωνία" της ιστοσελίδας στη διεύθυνση:</w:t>
      </w:r>
      <w:r>
        <w:rPr xmlns:w="http://schemas.openxmlformats.org/wordprocessingml/2006/main">
          <w:rFonts w:ascii="Arial" w:cs="Arial" w:eastAsia="Arial" w:hAnsi="Arial"/>
          <w:sz w:val="17"/>
          <w:szCs w:val="17"/>
          <w:color w:val="auto"/>
        </w:rPr>
        <w:t xml:space="preserve"> www.ssga.com.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154940</wp:posOffset>
            </wp:positionV>
            <wp:extent cx="6840220" cy="4763"/>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6840220" cy="4763"/>
                    </a:xfrm>
                    <a:prstGeom prst="rect">
                      <a:avLst/>
                    </a:prstGeom>
                    <a:noFill/>
                  </pic:spPr>
                </pic:pic>
              </a:graphicData>
            </a:graphic>
          </wp:anchor>
        </w:drawing>
      </w:r>
    </w:p>
    <w:p>
      <w:pPr>
        <w:spacing w:after="0" w:line="28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3"/>
          <w:szCs w:val="23"/>
          <w:b w:val="1"/>
          <w:bCs w:val="1"/>
          <w:color w:val="263E33"/>
        </w:rPr>
        <w:t xml:space="preserve">Άλλες σχετικές πληροφορίες</w:t>
      </w:r>
    </w:p>
    <w:p>
      <w:pPr>
        <w:spacing w:after="0" w:line="121" w:lineRule="exact"/>
        <w:rPr>
          <w:sz w:val="20"/>
          <w:szCs w:val="20"/>
          <w:color w:val="auto"/>
        </w:rPr>
      </w:pPr>
    </w:p>
    <w:p>
      <w:pPr xmlns:w="http://schemas.openxmlformats.org/wordprocessingml/2006/main">
        <w:jc w:val="both"/>
        <w:spacing w:after="0" w:line="271" w:lineRule="auto"/>
        <w:rPr>
          <w:sz w:val="20"/>
          <w:szCs w:val="20"/>
          <w:color w:val="auto"/>
        </w:rPr>
      </w:pPr>
      <w:r>
        <w:rPr xmlns:w="http://schemas.openxmlformats.org/wordprocessingml/2006/main">
          <w:rFonts w:ascii="Arial" w:cs="Arial" w:eastAsia="Arial" w:hAnsi="Arial"/>
          <w:sz w:val="16"/>
          <w:szCs w:val="16"/>
          <w:b w:val="1"/>
          <w:bCs w:val="1"/>
          <w:color w:val="263E33"/>
        </w:rPr>
        <w:t xml:space="preserve">Κόστος, απόδοση και κίνδυνος Οι</w:t>
      </w:r>
      <w:r>
        <w:rPr xmlns:w="http://schemas.openxmlformats.org/wordprocessingml/2006/main">
          <w:rFonts w:ascii="Arial" w:cs="Arial" w:eastAsia="Arial" w:hAnsi="Arial"/>
          <w:sz w:val="16"/>
          <w:szCs w:val="16"/>
          <w:color w:val="000000"/>
        </w:rPr>
        <w:t xml:space="preserve"> υπολογισμοί κόστους, επιδόσεων και κινδύνου που περιλαμβάνονται στο παρόν έγγραφο βασικών πληροφοριών ακολουθούν τη μεθοδολογία που προβλέπεται από τους κανόνες της ΕΕ.</w:t>
      </w:r>
      <w:r>
        <w:rPr xmlns:w="http://schemas.openxmlformats.org/wordprocessingml/2006/main">
          <w:rFonts w:ascii="Arial" w:cs="Arial" w:eastAsia="Arial" w:hAnsi="Arial"/>
          <w:sz w:val="16"/>
          <w:szCs w:val="16"/>
          <w:color w:val="000000"/>
        </w:rPr>
        <w:t xml:space="preserve"> Σημειώνεται ότι τα σενάρια επιδόσεων που υπολογίζονται ανωτέρω προκύπτουν αποκλειστικά από τις προηγούμενες επιδόσεις της τιμής της μετοχής του Ταμείου και ότι οι προηγούμενες επιδόσεις δεν αποτελούν οδηγό για μελλοντικές αποδόσεις.</w:t>
      </w:r>
      <w:r>
        <w:rPr xmlns:w="http://schemas.openxmlformats.org/wordprocessingml/2006/main">
          <w:rFonts w:ascii="Arial" w:cs="Arial" w:eastAsia="Arial" w:hAnsi="Arial"/>
          <w:sz w:val="16"/>
          <w:szCs w:val="16"/>
          <w:color w:val="000000"/>
        </w:rPr>
        <w:t xml:space="preserve"> Ως εκ τούτου, η επένδυσή σας μπορεί να κινδυνεύει και δεν μπορείτε να πάρετε πίσω τα κέρδη που απεικονίζονται.</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color w:val="auto"/>
        </w:rPr>
        <w:t xml:space="preserve">Οι επενδυτές δεν θα πρέπει να βασίζουν τις επενδυτικές αποφάσεις τους αποκλειστικά στα σενάρια που παρουσιάζονται.</w:t>
      </w:r>
    </w:p>
    <w:p>
      <w:pPr>
        <w:spacing w:after="0" w:line="8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63E33"/>
        </w:rPr>
        <w:t xml:space="preserve">Σενάρια απόδοσης</w:t>
      </w:r>
      <w:r>
        <w:rPr xmlns:w="http://schemas.openxmlformats.org/wordprocessingml/2006/main">
          <w:rFonts w:ascii="Arial" w:cs="Arial" w:eastAsia="Arial" w:hAnsi="Arial"/>
          <w:sz w:val="16"/>
          <w:szCs w:val="16"/>
          <w:color w:val="000000"/>
        </w:rPr>
        <w:t xml:space="preserve"> Μπορείτε να ζητήσετε την ενημέρωση προηγούμενων σεναρίων απόδοσης σε μηνιαία βάση μέσω ηλεκτρονικού ταχυδρομείου στη διεύθυνση Fund_data_services@ssga.com.</w:t>
      </w:r>
    </w:p>
    <w:p>
      <w:pPr>
        <w:spacing w:after="0" w:line="91" w:lineRule="exact"/>
        <w:rPr>
          <w:sz w:val="20"/>
          <w:szCs w:val="20"/>
          <w:color w:val="auto"/>
        </w:rPr>
      </w:pPr>
    </w:p>
    <w:p>
      <w:pPr xmlns:w="http://schemas.openxmlformats.org/wordprocessingml/2006/main">
        <w:spacing w:after="0"/>
        <w:rPr>
          <w:rFonts w:ascii="Arial" w:cs="Arial" w:eastAsia="Arial" w:hAnsi="Arial"/>
          <w:sz w:val="17"/>
          <w:szCs w:val="17"/>
          <w:b w:val="1"/>
          <w:bCs w:val="1"/>
          <w:color w:val="263E33"/>
        </w:rPr>
      </w:pPr>
      <w:r>
        <w:rPr xmlns:w="http://schemas.openxmlformats.org/wordprocessingml/2006/main">
          <w:rFonts w:ascii="Arial" w:cs="Arial" w:eastAsia="Arial" w:hAnsi="Arial"/>
          <w:sz w:val="17"/>
          <w:szCs w:val="17"/>
          <w:b w:val="1"/>
          <w:bCs w:val="1"/>
          <w:color w:val="263E33"/>
        </w:rPr>
        <w:t xml:space="preserve">Προηγούμενη απόδοση</w:t>
      </w:r>
      <w:r>
        <w:rPr xmlns:w="http://schemas.openxmlformats.org/wordprocessingml/2006/main">
          <w:rFonts w:ascii="Arial" w:cs="Arial" w:eastAsia="Arial" w:hAnsi="Arial"/>
          <w:sz w:val="17"/>
          <w:szCs w:val="17"/>
          <w:color w:val="000000"/>
        </w:rPr>
        <w:t xml:space="preserve"> Μπορείτε να κατεβάσετε την προηγούμενη απόδοση τα τελευταία 9 χρόνια από την ιστοσελίδα μας στο </w:t>
      </w:r>
      <w:hyperlink r:id="rId17">
        <w:r>
          <w:rPr xmlns:w="http://schemas.openxmlformats.org/wordprocessingml/2006/main">
            <w:rFonts w:ascii="Arial" w:cs="Arial" w:eastAsia="Arial" w:hAnsi="Arial"/>
            <w:sz w:val="17"/>
            <w:szCs w:val="17"/>
            <w:color w:val="000000"/>
          </w:rPr>
          <w:t xml:space="preserve">www.ssga.com.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587375</wp:posOffset>
            </wp:positionV>
            <wp:extent cx="6840220" cy="698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extLst>
                    </a:blip>
                    <a:srcRect/>
                    <a:stretch>
                      <a:fillRect/>
                    </a:stretch>
                  </pic:blipFill>
                  <pic:spPr bwMode="auto">
                    <a:xfrm>
                      <a:off x="0" y="0"/>
                      <a:ext cx="6840220" cy="6985"/>
                    </a:xfrm>
                    <a:prstGeom prst="rect">
                      <a:avLst/>
                    </a:prstGeom>
                    <a:noFill/>
                  </pic:spPr>
                </pic:pic>
              </a:graphicData>
            </a:graphic>
          </wp:anchor>
        </w:drawing>
      </w:r>
    </w:p>
    <w:p>
      <w:pPr>
        <w:sectPr>
          <w:pgSz w:w="11900" w:h="16838" w:orient="portrait"/>
          <w:cols w:equalWidth="0" w:num="1">
            <w:col w:w="10780"/>
          </w:cols>
          <w:pgMar w:left="560" w:top="517" w:right="5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Σελίδα 3/3</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 Έγγραφο βασικών πληροφοριών </w:t>
      </w:r>
      <w:r>
        <w:rPr xmlns:w="http://schemas.openxmlformats.org/wordprocessingml/2006/main">
          <w:rFonts w:ascii="Arial" w:cs="Arial" w:eastAsia="Arial" w:hAnsi="Arial"/>
          <w:sz w:val="16"/>
          <w:szCs w:val="16"/>
          <w:color w:val="auto"/>
        </w:rPr>
        <w:t xml:space="preserve">| 1 η Ιανουαρίου 2023</w:t>
      </w:r>
    </w:p>
    <w:sectPr>
      <w:pgSz w:w="11900" w:h="16838" w:orient="portrait"/>
      <w:cols w:equalWidth="0" w:num="1">
        <w:col w:w="10780"/>
      </w:cols>
      <w:pgMar w:left="560" w:top="517"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E29FDEE"/>
    <w:multiLevelType w:val="hybridMultilevel"/>
    <w:lvl w:ilvl="0">
      <w:lvlJc w:val="left"/>
      <w:lvlText w:val="%1"/>
      <w:numFmt w:val="upperLetter"/>
      <w:start w:val="17"/>
    </w:lvl>
  </w:abstractNum>
  <w:abstractNum w:abstractNumId="1">
    <w:nsid w:val="6F266E00"/>
    <w:multiLevelType w:val="hybridMultilevel"/>
    <w:lvl w:ilvl="0">
      <w:lvlJc w:val="left"/>
      <w:lvlText w:val="(*)"/>
      <w:numFmt w:val="bullet"/>
      <w:start w:val="1"/>
    </w:lvl>
  </w:abstractNum>
  <w:abstractNum w:abstractNumId="2">
    <w:nsid w:val="792E29C4"/>
    <w:multiLevelType w:val="hybridMultilevel"/>
    <w:lvl w:ilvl="0">
      <w:lvlJc w:val="left"/>
      <w:lvlText w:val="%1"/>
      <w:numFmt w:val="decimal"/>
      <w:start w:val="35"/>
    </w:lvl>
  </w:abstractNum>
  <w:abstractNum w:abstractNumId="3">
    <w:nsid w:val="77AFAF23"/>
    <w:multiLevelType w:val="hybridMultilevel"/>
    <w:lvl w:ilvl="0">
      <w:lvlJc w:val="left"/>
      <w:lvlText w:val="%1"/>
      <w:numFmt w:val="decimal"/>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17" Type="http://schemas.openxmlformats.org/officeDocument/2006/relationships/hyperlink" Target="www.ssga.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2024-05-20T14:46:44Z</dcterms:created>
  <dcterms:modified xsi:type="dcterms:W3CDTF">2024-05-20T14:46:44Z</dcterms:modified>
</cp:coreProperties>
</file>